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AD4F05" w:rsidRDefault="00C934B9" w:rsidP="00907825">
      <w:pPr>
        <w:pStyle w:val="DecHTitle"/>
        <w:rPr>
          <w:lang w:val="fr-FR"/>
        </w:rPr>
      </w:pPr>
      <w:r>
        <w:rPr>
          <w:szCs w:val="24"/>
          <w:lang w:val="fr-FR"/>
        </w:rPr>
        <w:t>PREMIÈRE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C934B9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60201/09</w:t>
      </w:r>
      <w:r w:rsidR="006544C4" w:rsidRPr="00AD4F05">
        <w:rPr>
          <w:lang w:val="fr-FR"/>
        </w:rPr>
        <w:br/>
      </w:r>
      <w:r>
        <w:rPr>
          <w:lang w:val="fr-FR"/>
        </w:rPr>
        <w:t xml:space="preserve">Renata </w:t>
      </w:r>
      <w:proofErr w:type="spellStart"/>
      <w:r>
        <w:rPr>
          <w:lang w:val="fr-FR"/>
        </w:rPr>
        <w:t>Danila</w:t>
      </w:r>
      <w:proofErr w:type="spellEnd"/>
      <w:r w:rsidRPr="00AD4F05">
        <w:rPr>
          <w:lang w:val="fr-FR"/>
        </w:rPr>
        <w:t xml:space="preserve"> </w:t>
      </w:r>
      <w:r>
        <w:rPr>
          <w:lang w:val="fr-FR"/>
        </w:rPr>
        <w:t>GATTO</w:t>
      </w:r>
      <w:r w:rsidRPr="00AD4F05">
        <w:rPr>
          <w:lang w:val="fr-FR"/>
        </w:rPr>
        <w:br/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E55886">
        <w:rPr>
          <w:lang w:val="fr-FR"/>
        </w:rPr>
        <w:t>’</w:t>
      </w:r>
      <w:r>
        <w:rPr>
          <w:lang w:val="fr-FR"/>
        </w:rPr>
        <w:t>Italie</w:t>
      </w:r>
    </w:p>
    <w:p w:rsidR="00C934B9" w:rsidRPr="003029F4" w:rsidRDefault="00C934B9" w:rsidP="0083422D">
      <w:pPr>
        <w:pStyle w:val="ECHRPara"/>
        <w:rPr>
          <w:lang w:val="fr-FR"/>
        </w:rPr>
      </w:pPr>
      <w:r w:rsidRPr="003029F4">
        <w:rPr>
          <w:lang w:val="fr-FR"/>
        </w:rPr>
        <w:t>La Cour européenne des droits de l</w:t>
      </w:r>
      <w:r w:rsidR="00E55886">
        <w:rPr>
          <w:lang w:val="fr-FR"/>
        </w:rPr>
        <w:t>’</w:t>
      </w:r>
      <w:r w:rsidRPr="003029F4">
        <w:rPr>
          <w:lang w:val="fr-FR"/>
        </w:rPr>
        <w:t>homme (</w:t>
      </w:r>
      <w:r>
        <w:rPr>
          <w:lang w:val="fr-FR"/>
        </w:rPr>
        <w:t>première section</w:t>
      </w:r>
      <w:r w:rsidRPr="003029F4">
        <w:rPr>
          <w:lang w:val="fr-FR"/>
        </w:rPr>
        <w:t xml:space="preserve">), siégeant le </w:t>
      </w:r>
      <w:r>
        <w:rPr>
          <w:lang w:val="fr-FR"/>
        </w:rPr>
        <w:t>26 janvier 2016</w:t>
      </w:r>
      <w:r w:rsidRPr="003029F4">
        <w:rPr>
          <w:lang w:val="fr-FR"/>
        </w:rPr>
        <w:t xml:space="preserve"> en un </w:t>
      </w:r>
      <w:r>
        <w:rPr>
          <w:lang w:val="fr-FR"/>
        </w:rPr>
        <w:t>comité</w:t>
      </w:r>
      <w:r w:rsidRPr="003029F4">
        <w:rPr>
          <w:lang w:val="fr-FR"/>
        </w:rPr>
        <w:t xml:space="preserve"> composé de :</w:t>
      </w:r>
    </w:p>
    <w:p w:rsidR="00C934B9" w:rsidRPr="00C934B9" w:rsidRDefault="00C934B9" w:rsidP="0083422D">
      <w:pPr>
        <w:pStyle w:val="ECHRDecisionBody"/>
        <w:rPr>
          <w:lang w:val="fr-FR"/>
        </w:rPr>
      </w:pPr>
      <w:r w:rsidRPr="00C934B9">
        <w:rPr>
          <w:lang w:val="fr-FR"/>
        </w:rPr>
        <w:tab/>
        <w:t>Kristina Pardalos,</w:t>
      </w:r>
      <w:r w:rsidRPr="00C934B9">
        <w:rPr>
          <w:i/>
          <w:lang w:val="fr-FR"/>
        </w:rPr>
        <w:t xml:space="preserve"> présidente,</w:t>
      </w:r>
      <w:r w:rsidRPr="00C934B9">
        <w:rPr>
          <w:i/>
          <w:lang w:val="fr-FR"/>
        </w:rPr>
        <w:br/>
      </w:r>
      <w:r w:rsidRPr="00C934B9">
        <w:rPr>
          <w:lang w:val="fr-FR"/>
        </w:rPr>
        <w:tab/>
        <w:t>Robert Spano,</w:t>
      </w:r>
      <w:r w:rsidRPr="00C934B9">
        <w:rPr>
          <w:i/>
          <w:lang w:val="fr-FR"/>
        </w:rPr>
        <w:br/>
      </w:r>
      <w:r w:rsidRPr="00C934B9">
        <w:rPr>
          <w:lang w:val="fr-FR"/>
        </w:rPr>
        <w:tab/>
        <w:t>Pauliine Koskelo,</w:t>
      </w:r>
      <w:r w:rsidRPr="00C934B9">
        <w:rPr>
          <w:i/>
          <w:lang w:val="fr-FR"/>
        </w:rPr>
        <w:t xml:space="preserve"> juges,</w:t>
      </w:r>
    </w:p>
    <w:p w:rsidR="00C934B9" w:rsidRPr="003029F4" w:rsidRDefault="00C934B9" w:rsidP="0083422D">
      <w:pPr>
        <w:pStyle w:val="ECHRDecisionBody"/>
        <w:rPr>
          <w:lang w:val="fr-FR"/>
        </w:rPr>
      </w:pPr>
      <w:proofErr w:type="gramStart"/>
      <w:r w:rsidRPr="003029F4">
        <w:rPr>
          <w:lang w:val="fr-FR"/>
        </w:rPr>
        <w:t>et</w:t>
      </w:r>
      <w:proofErr w:type="gramEnd"/>
      <w:r w:rsidRPr="003029F4">
        <w:rPr>
          <w:lang w:val="fr-FR"/>
        </w:rPr>
        <w:t xml:space="preserve"> de </w:t>
      </w:r>
      <w:r>
        <w:rPr>
          <w:lang w:val="fr-FR"/>
        </w:rPr>
        <w:t>André Wampach</w:t>
      </w:r>
      <w:r w:rsidRPr="00E21176">
        <w:rPr>
          <w:lang w:val="fr-FR"/>
        </w:rPr>
        <w:t xml:space="preserve">, </w:t>
      </w:r>
      <w:r w:rsidRPr="00E21176">
        <w:rPr>
          <w:i/>
          <w:lang w:val="fr-FR"/>
        </w:rPr>
        <w:t>greffier</w:t>
      </w:r>
      <w:r>
        <w:rPr>
          <w:i/>
          <w:lang w:val="fr-FR"/>
        </w:rPr>
        <w:t xml:space="preserve"> adjoint</w:t>
      </w:r>
      <w:r w:rsidRPr="00E21176">
        <w:rPr>
          <w:i/>
          <w:iCs/>
          <w:lang w:val="fr-FR"/>
        </w:rPr>
        <w:t xml:space="preserve"> d</w:t>
      </w:r>
      <w:r w:rsidRPr="00E21176">
        <w:rPr>
          <w:i/>
          <w:lang w:val="fr-FR"/>
        </w:rPr>
        <w:t>e section</w:t>
      </w:r>
      <w:r w:rsidRPr="003029F4">
        <w:rPr>
          <w:i/>
          <w:lang w:val="fr-FR"/>
        </w:rPr>
        <w:t>,</w:t>
      </w:r>
    </w:p>
    <w:p w:rsidR="00C934B9" w:rsidRPr="003029F4" w:rsidRDefault="00C934B9" w:rsidP="0083422D">
      <w:pPr>
        <w:pStyle w:val="ECHRPara"/>
        <w:rPr>
          <w:lang w:val="fr-FR"/>
        </w:rPr>
      </w:pPr>
      <w:r w:rsidRPr="003029F4">
        <w:rPr>
          <w:lang w:val="fr-FR"/>
        </w:rPr>
        <w:t xml:space="preserve">Vu la requête susmentionnée introduite le </w:t>
      </w:r>
      <w:r>
        <w:rPr>
          <w:lang w:val="fr-FR"/>
        </w:rPr>
        <w:t>2 novembre 2009</w:t>
      </w:r>
      <w:r w:rsidRPr="003029F4">
        <w:rPr>
          <w:lang w:val="fr-FR"/>
        </w:rPr>
        <w:t>,</w:t>
      </w:r>
    </w:p>
    <w:p w:rsidR="00C934B9" w:rsidRPr="003029F4" w:rsidRDefault="00C934B9" w:rsidP="0083422D">
      <w:pPr>
        <w:pStyle w:val="ECHRPara"/>
        <w:rPr>
          <w:lang w:val="fr-FR"/>
        </w:rPr>
      </w:pPr>
      <w:r w:rsidRPr="003029F4">
        <w:rPr>
          <w:lang w:val="fr-FR"/>
        </w:rPr>
        <w:t xml:space="preserve">Vu la déclaration déposée par le gouvernement défendeur le </w:t>
      </w:r>
      <w:r>
        <w:rPr>
          <w:lang w:val="fr-FR"/>
        </w:rPr>
        <w:t>30 septembre 2015</w:t>
      </w:r>
      <w:r w:rsidRPr="003029F4">
        <w:rPr>
          <w:lang w:val="fr-FR"/>
        </w:rPr>
        <w:t xml:space="preserve"> et invitant la Cour à rayer la requête du rôle, ainsi que la réponse de la partie requérante</w:t>
      </w:r>
      <w:r w:rsidRPr="003029F4">
        <w:rPr>
          <w:b/>
          <w:szCs w:val="24"/>
          <w:lang w:val="fr-FR"/>
        </w:rPr>
        <w:t xml:space="preserve"> </w:t>
      </w:r>
      <w:r w:rsidRPr="003029F4">
        <w:rPr>
          <w:lang w:val="fr-FR"/>
        </w:rPr>
        <w:t>à cette déclaration ;</w:t>
      </w:r>
    </w:p>
    <w:p w:rsidR="00C934B9" w:rsidRPr="003029F4" w:rsidRDefault="00C934B9" w:rsidP="0083422D">
      <w:pPr>
        <w:pStyle w:val="ECHRPara"/>
        <w:rPr>
          <w:lang w:val="fr-FR"/>
        </w:rPr>
      </w:pPr>
      <w:r w:rsidRPr="003029F4">
        <w:rPr>
          <w:lang w:val="fr-FR"/>
        </w:rPr>
        <w:t>Après en avoir délibéré, rend la décision suivante :</w:t>
      </w:r>
    </w:p>
    <w:p w:rsidR="00C934B9" w:rsidRPr="003029F4" w:rsidRDefault="00C934B9" w:rsidP="0083422D">
      <w:pPr>
        <w:pStyle w:val="ECHRTitle1"/>
        <w:rPr>
          <w:lang w:val="fr-FR"/>
        </w:rPr>
      </w:pPr>
      <w:r w:rsidRPr="003029F4">
        <w:rPr>
          <w:lang w:val="fr-FR"/>
        </w:rPr>
        <w:t>FAITS ET PROCÉDURE</w:t>
      </w:r>
    </w:p>
    <w:p w:rsidR="00C934B9" w:rsidRPr="00E31EAE" w:rsidRDefault="00C934B9" w:rsidP="0083422D">
      <w:pPr>
        <w:pStyle w:val="ECHRPara"/>
        <w:rPr>
          <w:lang w:val="fr-FR"/>
        </w:rPr>
      </w:pPr>
      <w:r w:rsidRPr="003029F4">
        <w:rPr>
          <w:lang w:val="fr-FR"/>
        </w:rPr>
        <w:t>La requérante, M</w:t>
      </w:r>
      <w:r w:rsidRPr="003029F4">
        <w:rPr>
          <w:vertAlign w:val="superscript"/>
          <w:lang w:val="fr-FR"/>
        </w:rPr>
        <w:t>me</w:t>
      </w:r>
      <w:r w:rsidRPr="003029F4">
        <w:rPr>
          <w:lang w:val="fr-FR"/>
        </w:rPr>
        <w:t xml:space="preserve"> </w:t>
      </w:r>
      <w:r>
        <w:rPr>
          <w:lang w:val="fr-FR"/>
        </w:rPr>
        <w:t xml:space="preserve">Renata </w:t>
      </w:r>
      <w:proofErr w:type="spellStart"/>
      <w:r>
        <w:rPr>
          <w:lang w:val="fr-FR"/>
        </w:rPr>
        <w:t>Danila</w:t>
      </w:r>
      <w:proofErr w:type="spellEnd"/>
      <w:r w:rsidRPr="003029F4">
        <w:rPr>
          <w:lang w:val="fr-FR"/>
        </w:rPr>
        <w:t xml:space="preserve"> </w:t>
      </w:r>
      <w:proofErr w:type="spellStart"/>
      <w:r>
        <w:rPr>
          <w:lang w:val="fr-FR"/>
        </w:rPr>
        <w:t>Gatto</w:t>
      </w:r>
      <w:proofErr w:type="spellEnd"/>
      <w:r w:rsidRPr="003029F4">
        <w:rPr>
          <w:lang w:val="fr-FR"/>
        </w:rPr>
        <w:t xml:space="preserve">, est une ressortissante </w:t>
      </w:r>
      <w:r>
        <w:rPr>
          <w:lang w:val="fr-FR"/>
        </w:rPr>
        <w:t>italienne</w:t>
      </w:r>
      <w:r w:rsidRPr="003029F4">
        <w:rPr>
          <w:lang w:val="fr-FR"/>
        </w:rPr>
        <w:t xml:space="preserve"> née en </w:t>
      </w:r>
      <w:r>
        <w:rPr>
          <w:lang w:val="fr-FR"/>
        </w:rPr>
        <w:t>1949</w:t>
      </w:r>
      <w:r w:rsidRPr="003029F4">
        <w:rPr>
          <w:lang w:val="fr-FR"/>
        </w:rPr>
        <w:t xml:space="preserve"> et résidant à </w:t>
      </w:r>
      <w:proofErr w:type="spellStart"/>
      <w:r>
        <w:rPr>
          <w:lang w:val="fr-FR"/>
        </w:rPr>
        <w:t>Reggio</w:t>
      </w:r>
      <w:proofErr w:type="spellEnd"/>
      <w:r>
        <w:rPr>
          <w:lang w:val="fr-FR"/>
        </w:rPr>
        <w:t xml:space="preserve"> de Calabre</w:t>
      </w:r>
      <w:r w:rsidRPr="003029F4">
        <w:rPr>
          <w:lang w:val="fr-FR"/>
        </w:rPr>
        <w:t>. Elle a été représentée devant la Cour par M</w:t>
      </w:r>
      <w:r w:rsidRPr="003029F4">
        <w:rPr>
          <w:vertAlign w:val="superscript"/>
          <w:lang w:val="fr-FR"/>
        </w:rPr>
        <w:t>e</w:t>
      </w:r>
      <w:r w:rsidRPr="003029F4">
        <w:rPr>
          <w:lang w:val="fr-FR"/>
        </w:rPr>
        <w:t> </w:t>
      </w:r>
      <w:r>
        <w:rPr>
          <w:lang w:val="fr-FR"/>
        </w:rPr>
        <w:t>G.</w:t>
      </w:r>
      <w:r w:rsidRPr="003029F4">
        <w:rPr>
          <w:lang w:val="fr-FR"/>
        </w:rPr>
        <w:t xml:space="preserve"> </w:t>
      </w:r>
      <w:r>
        <w:rPr>
          <w:lang w:val="fr-FR"/>
        </w:rPr>
        <w:t>de Stefano</w:t>
      </w:r>
      <w:r w:rsidRPr="003029F4">
        <w:rPr>
          <w:lang w:val="fr-FR"/>
        </w:rPr>
        <w:t xml:space="preserve">, avocat à </w:t>
      </w:r>
      <w:proofErr w:type="spellStart"/>
      <w:r>
        <w:rPr>
          <w:lang w:val="fr-FR"/>
        </w:rPr>
        <w:t>Reggio</w:t>
      </w:r>
      <w:proofErr w:type="spellEnd"/>
      <w:r>
        <w:rPr>
          <w:lang w:val="fr-FR"/>
        </w:rPr>
        <w:t xml:space="preserve"> de Calabre</w:t>
      </w:r>
      <w:r w:rsidRPr="003029F4">
        <w:rPr>
          <w:lang w:val="fr-FR"/>
        </w:rPr>
        <w:t>.</w:t>
      </w:r>
    </w:p>
    <w:p w:rsidR="00C934B9" w:rsidRPr="003029F4" w:rsidRDefault="00C934B9" w:rsidP="0083422D">
      <w:pPr>
        <w:pStyle w:val="ECHRPara"/>
        <w:rPr>
          <w:lang w:val="fr-FR"/>
        </w:rPr>
      </w:pPr>
      <w:r w:rsidRPr="000375DA">
        <w:rPr>
          <w:lang w:val="fr-FR"/>
        </w:rPr>
        <w:t xml:space="preserve">Le gouvernement </w:t>
      </w:r>
      <w:r>
        <w:rPr>
          <w:lang w:val="fr-FR"/>
        </w:rPr>
        <w:t>italien</w:t>
      </w:r>
      <w:r w:rsidRPr="000375DA">
        <w:rPr>
          <w:lang w:val="fr-FR"/>
        </w:rPr>
        <w:t xml:space="preserve"> (« le Gouvernement ») a été représenté par son agent, </w:t>
      </w:r>
      <w:r>
        <w:rPr>
          <w:lang w:val="fr-FR"/>
        </w:rPr>
        <w:t>M</w:t>
      </w:r>
      <w:r w:rsidRPr="00DD4562">
        <w:rPr>
          <w:vertAlign w:val="superscript"/>
          <w:lang w:val="fr-FR"/>
        </w:rPr>
        <w:t>me</w:t>
      </w:r>
      <w:r>
        <w:rPr>
          <w:lang w:val="fr-FR"/>
        </w:rPr>
        <w:t xml:space="preserve"> E. </w:t>
      </w:r>
      <w:proofErr w:type="spellStart"/>
      <w:r>
        <w:rPr>
          <w:lang w:val="fr-FR"/>
        </w:rPr>
        <w:t>Spatafora</w:t>
      </w:r>
      <w:proofErr w:type="spellEnd"/>
      <w:r w:rsidRPr="000375DA">
        <w:rPr>
          <w:lang w:val="fr-FR"/>
        </w:rPr>
        <w:t xml:space="preserve">, </w:t>
      </w:r>
      <w:r>
        <w:rPr>
          <w:lang w:val="fr-FR"/>
        </w:rPr>
        <w:t xml:space="preserve">et par son </w:t>
      </w:r>
      <w:proofErr w:type="spellStart"/>
      <w:r>
        <w:rPr>
          <w:lang w:val="fr-FR"/>
        </w:rPr>
        <w:t>co</w:t>
      </w:r>
      <w:proofErr w:type="spellEnd"/>
      <w:r>
        <w:rPr>
          <w:lang w:val="fr-FR"/>
        </w:rPr>
        <w:t>-agent, M</w:t>
      </w:r>
      <w:r w:rsidRPr="00DD4562">
        <w:rPr>
          <w:vertAlign w:val="superscript"/>
          <w:lang w:val="fr-FR"/>
        </w:rPr>
        <w:t>me</w:t>
      </w:r>
      <w:r>
        <w:rPr>
          <w:lang w:val="fr-FR"/>
        </w:rPr>
        <w:t xml:space="preserve"> P. Accardo</w:t>
      </w:r>
      <w:r w:rsidRPr="000375DA">
        <w:rPr>
          <w:lang w:val="fr-FR"/>
        </w:rPr>
        <w:t>.</w:t>
      </w:r>
    </w:p>
    <w:p w:rsidR="00C934B9" w:rsidRPr="003029F4" w:rsidRDefault="00C934B9" w:rsidP="0083422D">
      <w:pPr>
        <w:pStyle w:val="ECHRPara"/>
        <w:rPr>
          <w:lang w:val="fr-FR"/>
        </w:rPr>
      </w:pPr>
      <w:r w:rsidRPr="003029F4">
        <w:rPr>
          <w:lang w:val="fr-FR"/>
        </w:rPr>
        <w:t>Invoquant l</w:t>
      </w:r>
      <w:r>
        <w:rPr>
          <w:lang w:val="fr-FR"/>
        </w:rPr>
        <w:t xml:space="preserve">es </w:t>
      </w:r>
      <w:r w:rsidRPr="003029F4">
        <w:rPr>
          <w:lang w:val="fr-FR"/>
        </w:rPr>
        <w:t>article</w:t>
      </w:r>
      <w:r>
        <w:rPr>
          <w:lang w:val="fr-FR"/>
        </w:rPr>
        <w:t>s</w:t>
      </w:r>
      <w:r w:rsidRPr="003029F4">
        <w:rPr>
          <w:lang w:val="fr-FR"/>
        </w:rPr>
        <w:t xml:space="preserve"> </w:t>
      </w:r>
      <w:r>
        <w:rPr>
          <w:lang w:val="fr-FR"/>
        </w:rPr>
        <w:t>8 et 13</w:t>
      </w:r>
      <w:r w:rsidRPr="003029F4">
        <w:rPr>
          <w:lang w:val="fr-FR"/>
        </w:rPr>
        <w:t xml:space="preserve"> de la Convention, la requérante se plaignait</w:t>
      </w:r>
      <w:r>
        <w:rPr>
          <w:lang w:val="fr-FR"/>
        </w:rPr>
        <w:t xml:space="preserve"> du rejet, pendant environ un an, de ses demandes visant à obtenir des colloques avec son mari, qui avait été placé en détention provisoire, ainsi que de l</w:t>
      </w:r>
      <w:r w:rsidR="00E55886">
        <w:rPr>
          <w:lang w:val="fr-FR"/>
        </w:rPr>
        <w:t>’</w:t>
      </w:r>
      <w:r>
        <w:rPr>
          <w:lang w:val="fr-FR"/>
        </w:rPr>
        <w:t>absence d</w:t>
      </w:r>
      <w:r w:rsidR="00E55886">
        <w:rPr>
          <w:lang w:val="fr-FR"/>
        </w:rPr>
        <w:t>’</w:t>
      </w:r>
      <w:r>
        <w:rPr>
          <w:lang w:val="fr-FR"/>
        </w:rPr>
        <w:t>un recours interne effectif à cet égard</w:t>
      </w:r>
      <w:r w:rsidRPr="003029F4">
        <w:rPr>
          <w:lang w:val="fr-FR"/>
        </w:rPr>
        <w:t>.</w:t>
      </w:r>
    </w:p>
    <w:p w:rsidR="00C934B9" w:rsidRPr="003029F4" w:rsidRDefault="00C934B9" w:rsidP="0083422D">
      <w:pPr>
        <w:pStyle w:val="ECHRPara"/>
        <w:rPr>
          <w:lang w:val="fr-FR"/>
        </w:rPr>
      </w:pPr>
      <w:r w:rsidRPr="003029F4">
        <w:rPr>
          <w:lang w:val="fr-FR"/>
        </w:rPr>
        <w:t xml:space="preserve">La requête </w:t>
      </w:r>
      <w:r w:rsidRPr="003029F4">
        <w:rPr>
          <w:bCs/>
          <w:szCs w:val="24"/>
          <w:lang w:val="fr-FR" w:eastAsia="en-GB"/>
        </w:rPr>
        <w:t>avait été communiquée</w:t>
      </w:r>
      <w:r w:rsidRPr="003029F4">
        <w:rPr>
          <w:lang w:val="fr-FR"/>
        </w:rPr>
        <w:t xml:space="preserve"> </w:t>
      </w:r>
      <w:r w:rsidRPr="003029F4">
        <w:rPr>
          <w:szCs w:val="24"/>
          <w:lang w:val="fr-FR" w:eastAsia="en-GB"/>
        </w:rPr>
        <w:t>a</w:t>
      </w:r>
      <w:r w:rsidRPr="003029F4">
        <w:rPr>
          <w:color w:val="000000"/>
          <w:szCs w:val="24"/>
          <w:lang w:val="fr-FR" w:eastAsia="en-GB"/>
        </w:rPr>
        <w:t>u Gouvernement</w:t>
      </w:r>
      <w:r w:rsidRPr="003029F4">
        <w:rPr>
          <w:color w:val="0000FF"/>
          <w:szCs w:val="24"/>
          <w:lang w:val="fr-FR" w:eastAsia="en-GB"/>
        </w:rPr>
        <w:t>.</w:t>
      </w:r>
    </w:p>
    <w:p w:rsidR="00C934B9" w:rsidRPr="003029F4" w:rsidRDefault="00C934B9" w:rsidP="0083422D">
      <w:pPr>
        <w:pStyle w:val="ECHRTitle1"/>
        <w:rPr>
          <w:lang w:val="fr-FR"/>
        </w:rPr>
      </w:pPr>
      <w:r w:rsidRPr="003029F4">
        <w:rPr>
          <w:lang w:val="fr-FR"/>
        </w:rPr>
        <w:lastRenderedPageBreak/>
        <w:t>EN DROIT</w:t>
      </w:r>
    </w:p>
    <w:p w:rsidR="00C934B9" w:rsidRDefault="00C934B9" w:rsidP="0083422D">
      <w:pPr>
        <w:pStyle w:val="ECHRPara"/>
        <w:rPr>
          <w:lang w:val="fr-FR"/>
        </w:rPr>
      </w:pPr>
      <w:r w:rsidRPr="003029F4">
        <w:rPr>
          <w:szCs w:val="24"/>
          <w:lang w:val="fr-FR"/>
        </w:rPr>
        <w:t>La partie requérante</w:t>
      </w:r>
      <w:r w:rsidRPr="003029F4">
        <w:rPr>
          <w:lang w:val="fr-FR"/>
        </w:rPr>
        <w:t xml:space="preserve"> alléguait que </w:t>
      </w:r>
      <w:r>
        <w:rPr>
          <w:lang w:val="fr-FR"/>
        </w:rPr>
        <w:t>le rejet de ses demandes visant à obtenir un colloque avec son mari détenu s</w:t>
      </w:r>
      <w:r w:rsidR="00E55886">
        <w:rPr>
          <w:lang w:val="fr-FR"/>
        </w:rPr>
        <w:t>’</w:t>
      </w:r>
      <w:r>
        <w:rPr>
          <w:lang w:val="fr-FR"/>
        </w:rPr>
        <w:t>analysait en une atteinte à son droit au respect de sa vie privée et familiale et qu</w:t>
      </w:r>
      <w:r w:rsidR="00E55886">
        <w:rPr>
          <w:lang w:val="fr-FR"/>
        </w:rPr>
        <w:t>’</w:t>
      </w:r>
      <w:r>
        <w:rPr>
          <w:lang w:val="fr-FR"/>
        </w:rPr>
        <w:t>elle ne disposait, en droit italien, d</w:t>
      </w:r>
      <w:r w:rsidR="00E55886">
        <w:rPr>
          <w:lang w:val="fr-FR"/>
        </w:rPr>
        <w:t>’</w:t>
      </w:r>
      <w:r>
        <w:rPr>
          <w:lang w:val="fr-FR"/>
        </w:rPr>
        <w:t>aucune recours effectif pour dénoncer cette violation de ses droits</w:t>
      </w:r>
      <w:r w:rsidRPr="003029F4">
        <w:rPr>
          <w:lang w:val="fr-FR"/>
        </w:rPr>
        <w:t>. Elle invoquait l</w:t>
      </w:r>
      <w:r>
        <w:rPr>
          <w:lang w:val="fr-FR"/>
        </w:rPr>
        <w:t xml:space="preserve">es </w:t>
      </w:r>
      <w:r w:rsidRPr="003029F4">
        <w:rPr>
          <w:lang w:val="fr-FR"/>
        </w:rPr>
        <w:t>article</w:t>
      </w:r>
      <w:r>
        <w:rPr>
          <w:lang w:val="fr-FR"/>
        </w:rPr>
        <w:t>s</w:t>
      </w:r>
      <w:r w:rsidRPr="003029F4">
        <w:rPr>
          <w:lang w:val="fr-FR"/>
        </w:rPr>
        <w:t xml:space="preserve"> </w:t>
      </w:r>
      <w:r>
        <w:rPr>
          <w:lang w:val="fr-FR"/>
        </w:rPr>
        <w:t>8 et 13</w:t>
      </w:r>
      <w:r w:rsidRPr="003029F4">
        <w:rPr>
          <w:lang w:val="fr-FR"/>
        </w:rPr>
        <w:t xml:space="preserve"> de la Convention.</w:t>
      </w:r>
    </w:p>
    <w:p w:rsidR="00C934B9" w:rsidRPr="003029F4" w:rsidRDefault="00C934B9" w:rsidP="0083422D">
      <w:pPr>
        <w:pStyle w:val="ECHRPara"/>
        <w:rPr>
          <w:szCs w:val="24"/>
          <w:lang w:val="fr-FR"/>
        </w:rPr>
      </w:pPr>
      <w:r w:rsidRPr="003029F4">
        <w:rPr>
          <w:lang w:val="fr-FR"/>
        </w:rPr>
        <w:t>Après l</w:t>
      </w:r>
      <w:r w:rsidR="00E55886">
        <w:rPr>
          <w:lang w:val="fr-FR"/>
        </w:rPr>
        <w:t>’</w:t>
      </w:r>
      <w:r w:rsidRPr="003029F4">
        <w:rPr>
          <w:lang w:val="fr-FR"/>
        </w:rPr>
        <w:t>échec des tentatives de règlement amiable, par</w:t>
      </w:r>
      <w:r w:rsidRPr="003029F4">
        <w:rPr>
          <w:szCs w:val="24"/>
          <w:lang w:val="fr-FR"/>
        </w:rPr>
        <w:t xml:space="preserve"> une lettre du </w:t>
      </w:r>
      <w:r>
        <w:rPr>
          <w:lang w:val="fr-FR"/>
        </w:rPr>
        <w:t>30 septembre 2015</w:t>
      </w:r>
      <w:r w:rsidRPr="003029F4">
        <w:rPr>
          <w:szCs w:val="24"/>
          <w:lang w:val="fr-FR"/>
        </w:rPr>
        <w:t xml:space="preserve"> le Gouvernement a informé la Cour qu</w:t>
      </w:r>
      <w:r w:rsidR="00E55886">
        <w:rPr>
          <w:szCs w:val="24"/>
          <w:lang w:val="fr-FR"/>
        </w:rPr>
        <w:t>’</w:t>
      </w:r>
      <w:r w:rsidRPr="003029F4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3029F4">
        <w:rPr>
          <w:lang w:val="fr-FR"/>
        </w:rPr>
        <w:t>la requête</w:t>
      </w:r>
      <w:r w:rsidRPr="003029F4">
        <w:rPr>
          <w:szCs w:val="24"/>
          <w:lang w:val="fr-FR"/>
        </w:rPr>
        <w:t>. Il a en outre invité la Cour à rayer celle-ci du rôle en application de l</w:t>
      </w:r>
      <w:r w:rsidR="00E55886">
        <w:rPr>
          <w:szCs w:val="24"/>
          <w:lang w:val="fr-FR"/>
        </w:rPr>
        <w:t>’</w:t>
      </w:r>
      <w:r w:rsidRPr="003029F4">
        <w:rPr>
          <w:szCs w:val="24"/>
          <w:lang w:val="fr-FR"/>
        </w:rPr>
        <w:t>article 37 de la Convention.</w:t>
      </w:r>
    </w:p>
    <w:p w:rsidR="00C41ED1" w:rsidRDefault="00C934B9" w:rsidP="0083422D">
      <w:pPr>
        <w:pStyle w:val="ECHRPara"/>
        <w:rPr>
          <w:szCs w:val="24"/>
          <w:lang w:val="fr-FR"/>
        </w:rPr>
      </w:pPr>
      <w:r w:rsidRPr="003029F4">
        <w:rPr>
          <w:szCs w:val="24"/>
          <w:lang w:val="fr-FR"/>
        </w:rPr>
        <w:t>La déclaration était ainsi libellée </w:t>
      </w:r>
      <w:r>
        <w:rPr>
          <w:szCs w:val="24"/>
          <w:lang w:val="fr-FR"/>
        </w:rPr>
        <w:t>[original anglais] </w:t>
      </w:r>
      <w:r w:rsidRPr="003029F4">
        <w:rPr>
          <w:szCs w:val="24"/>
          <w:lang w:val="fr-FR"/>
        </w:rPr>
        <w:t>:</w:t>
      </w:r>
    </w:p>
    <w:p w:rsidR="00C934B9" w:rsidRPr="008E1EA1" w:rsidRDefault="00C934B9" w:rsidP="0083422D">
      <w:pPr>
        <w:pStyle w:val="ECHRParaQuote"/>
      </w:pPr>
      <w:r w:rsidRPr="00A1612F">
        <w:t>« </w:t>
      </w:r>
      <w:r w:rsidRPr="008E1EA1">
        <w:t>The Italian Government recognizes that the applicant has endured a violation of the human</w:t>
      </w:r>
      <w:r>
        <w:t xml:space="preserve"> </w:t>
      </w:r>
      <w:r w:rsidRPr="008E1EA1">
        <w:t xml:space="preserve">rights provided for in Article 8 (Right to respect for private and family life) and Article </w:t>
      </w:r>
      <w:r>
        <w:t xml:space="preserve">13 </w:t>
      </w:r>
      <w:r w:rsidRPr="008E1EA1">
        <w:t>(Right to an effective remedy) of the Convention.</w:t>
      </w:r>
    </w:p>
    <w:p w:rsidR="00C934B9" w:rsidRPr="008E1EA1" w:rsidRDefault="00C934B9" w:rsidP="0083422D">
      <w:pPr>
        <w:pStyle w:val="ECHRParaQuote"/>
      </w:pPr>
      <w:r w:rsidRPr="008E1EA1">
        <w:t>Along with the recognition of said violations, the Government wishes to bring redress to the</w:t>
      </w:r>
      <w:r>
        <w:t xml:space="preserve"> </w:t>
      </w:r>
      <w:r w:rsidRPr="008E1EA1">
        <w:t>breach of such human rights offering to pay a global amount of € 4000 (four thousand),</w:t>
      </w:r>
      <w:r>
        <w:t xml:space="preserve"> </w:t>
      </w:r>
      <w:r w:rsidRPr="008E1EA1">
        <w:t>covering all material and moral damages, as well as costs and expenses and any other amount</w:t>
      </w:r>
      <w:r>
        <w:t xml:space="preserve"> </w:t>
      </w:r>
      <w:r w:rsidRPr="008E1EA1">
        <w:t>that may be payable as a tax by the applicant.</w:t>
      </w:r>
    </w:p>
    <w:p w:rsidR="00C934B9" w:rsidRPr="008E1EA1" w:rsidRDefault="00C934B9" w:rsidP="0083422D">
      <w:pPr>
        <w:pStyle w:val="ECHRParaQuote"/>
      </w:pPr>
      <w:r w:rsidRPr="008E1EA1">
        <w:t>This amount will be paid within three months following the date of no</w:t>
      </w:r>
      <w:r>
        <w:t>tifi</w:t>
      </w:r>
      <w:r w:rsidRPr="008E1EA1">
        <w:t>cation of the decision</w:t>
      </w:r>
      <w:r>
        <w:t xml:space="preserve"> </w:t>
      </w:r>
      <w:r w:rsidRPr="008E1EA1">
        <w:t>of the Court pursuant to Article 37 § 1 of the European Convention on Human Rights. In the</w:t>
      </w:r>
      <w:r>
        <w:t xml:space="preserve"> </w:t>
      </w:r>
      <w:r w:rsidRPr="008E1EA1">
        <w:t xml:space="preserve">event of failure to provide payment within said period, the Government undertakes to pay </w:t>
      </w:r>
      <w:r>
        <w:t xml:space="preserve">– </w:t>
      </w:r>
      <w:r w:rsidRPr="008E1EA1">
        <w:t>from the expir</w:t>
      </w:r>
      <w:r>
        <w:t>y</w:t>
      </w:r>
      <w:r w:rsidRPr="008E1EA1">
        <w:t xml:space="preserve"> thereof until actual payment of the sums in issue </w:t>
      </w:r>
      <w:r>
        <w:t xml:space="preserve">– </w:t>
      </w:r>
      <w:r w:rsidRPr="008E1EA1">
        <w:t>a simple interest at a rate</w:t>
      </w:r>
      <w:r>
        <w:t xml:space="preserve"> </w:t>
      </w:r>
      <w:r w:rsidRPr="008E1EA1">
        <w:t>equal to that of a marginal loan from the European Central Bank, increased by three percentage</w:t>
      </w:r>
      <w:r>
        <w:t xml:space="preserve"> </w:t>
      </w:r>
      <w:r w:rsidRPr="008E1EA1">
        <w:t>points. This payment will constitute the final settlement of the case.</w:t>
      </w:r>
    </w:p>
    <w:p w:rsidR="00C934B9" w:rsidRPr="008E1EA1" w:rsidRDefault="00C934B9" w:rsidP="0083422D">
      <w:pPr>
        <w:pStyle w:val="ECHRParaQuote"/>
      </w:pPr>
      <w:r w:rsidRPr="008E1EA1">
        <w:t>The Government believes that the acknowledgment of the violations of said human rights and</w:t>
      </w:r>
      <w:r>
        <w:t xml:space="preserve"> </w:t>
      </w:r>
      <w:r w:rsidRPr="008E1EA1">
        <w:t>the offer of the aforementioned global amount constitute adequate redress.</w:t>
      </w:r>
    </w:p>
    <w:p w:rsidR="00C934B9" w:rsidRPr="008E1EA1" w:rsidRDefault="00C934B9" w:rsidP="0083422D">
      <w:pPr>
        <w:pStyle w:val="ECHRParaQuote"/>
      </w:pPr>
      <w:r w:rsidRPr="008E1EA1">
        <w:t xml:space="preserve">In particular, the redress, as offered, </w:t>
      </w:r>
      <w:r w:rsidRPr="00A1612F">
        <w:t>takes into account</w:t>
      </w:r>
      <w:r w:rsidRPr="008E1EA1">
        <w:t>:</w:t>
      </w:r>
    </w:p>
    <w:p w:rsidR="00C934B9" w:rsidRDefault="005228C2" w:rsidP="0083422D">
      <w:pPr>
        <w:pStyle w:val="ECHRParaQuote"/>
      </w:pPr>
      <w:r>
        <w:t>a) </w:t>
      </w:r>
      <w:r w:rsidR="00C934B9" w:rsidRPr="008E1EA1">
        <w:t>with respect to violation of Article 8 of the Convention, of</w:t>
      </w:r>
      <w:r w:rsidR="00C934B9">
        <w:t xml:space="preserve"> the similar cases in the Court</w:t>
      </w:r>
      <w:r w:rsidR="00E55886">
        <w:t>’</w:t>
      </w:r>
      <w:r w:rsidR="00C934B9" w:rsidRPr="008E1EA1">
        <w:t>s</w:t>
      </w:r>
      <w:r w:rsidR="00C934B9">
        <w:t xml:space="preserve"> </w:t>
      </w:r>
      <w:r w:rsidR="00C934B9" w:rsidRPr="008E1EA1">
        <w:t xml:space="preserve">jurisprudence (see cases of </w:t>
      </w:r>
      <w:proofErr w:type="spellStart"/>
      <w:r w:rsidR="00C934B9" w:rsidRPr="008E1EA1">
        <w:rPr>
          <w:i/>
          <w:iCs/>
        </w:rPr>
        <w:t>Ti</w:t>
      </w:r>
      <w:r w:rsidR="00C934B9">
        <w:rPr>
          <w:i/>
          <w:iCs/>
        </w:rPr>
        <w:t>t</w:t>
      </w:r>
      <w:r w:rsidR="00C934B9" w:rsidRPr="008E1EA1">
        <w:rPr>
          <w:i/>
          <w:iCs/>
        </w:rPr>
        <w:t>arenko</w:t>
      </w:r>
      <w:proofErr w:type="spellEnd"/>
      <w:r w:rsidR="00C934B9" w:rsidRPr="008E1EA1">
        <w:rPr>
          <w:i/>
          <w:iCs/>
        </w:rPr>
        <w:t xml:space="preserve"> </w:t>
      </w:r>
      <w:r w:rsidR="00C934B9" w:rsidRPr="008E1EA1">
        <w:t xml:space="preserve">v. </w:t>
      </w:r>
      <w:r w:rsidR="00C934B9" w:rsidRPr="008E1EA1">
        <w:rPr>
          <w:i/>
          <w:iCs/>
        </w:rPr>
        <w:t>Ukraine</w:t>
      </w:r>
      <w:r w:rsidR="00C934B9">
        <w:rPr>
          <w:i/>
          <w:iCs/>
        </w:rPr>
        <w:t>,</w:t>
      </w:r>
      <w:r w:rsidR="00C934B9" w:rsidRPr="008E1EA1">
        <w:rPr>
          <w:i/>
          <w:iCs/>
        </w:rPr>
        <w:t xml:space="preserve"> 20/</w:t>
      </w:r>
      <w:r w:rsidR="00C934B9">
        <w:rPr>
          <w:i/>
          <w:iCs/>
        </w:rPr>
        <w:t>09</w:t>
      </w:r>
      <w:r w:rsidR="00C934B9" w:rsidRPr="008E1EA1">
        <w:rPr>
          <w:i/>
          <w:iCs/>
        </w:rPr>
        <w:t xml:space="preserve">/2012; </w:t>
      </w:r>
      <w:proofErr w:type="spellStart"/>
      <w:r w:rsidR="00C934B9" w:rsidRPr="008E1EA1">
        <w:rPr>
          <w:i/>
          <w:iCs/>
        </w:rPr>
        <w:t>Shalimov</w:t>
      </w:r>
      <w:proofErr w:type="spellEnd"/>
      <w:r w:rsidR="00C934B9" w:rsidRPr="008E1EA1">
        <w:rPr>
          <w:i/>
          <w:iCs/>
        </w:rPr>
        <w:t xml:space="preserve"> </w:t>
      </w:r>
      <w:r w:rsidR="00C934B9" w:rsidRPr="00A1612F">
        <w:rPr>
          <w:i/>
        </w:rPr>
        <w:t>v.</w:t>
      </w:r>
      <w:r w:rsidR="00C934B9">
        <w:t> </w:t>
      </w:r>
      <w:r w:rsidR="00C934B9" w:rsidRPr="008E1EA1">
        <w:rPr>
          <w:i/>
          <w:iCs/>
        </w:rPr>
        <w:t>Ukraine</w:t>
      </w:r>
      <w:r w:rsidR="00C934B9">
        <w:rPr>
          <w:i/>
          <w:iCs/>
        </w:rPr>
        <w:t xml:space="preserve">, </w:t>
      </w:r>
      <w:r w:rsidR="00C934B9" w:rsidRPr="008E1EA1">
        <w:rPr>
          <w:i/>
          <w:iCs/>
        </w:rPr>
        <w:t>4/06/2010</w:t>
      </w:r>
      <w:r w:rsidR="00C934B9">
        <w:rPr>
          <w:i/>
          <w:iCs/>
        </w:rPr>
        <w:t>;</w:t>
      </w:r>
      <w:r w:rsidR="00C934B9" w:rsidRPr="008E1EA1">
        <w:rPr>
          <w:i/>
          <w:iCs/>
        </w:rPr>
        <w:t xml:space="preserve"> </w:t>
      </w:r>
      <w:proofErr w:type="spellStart"/>
      <w:r w:rsidR="00C934B9" w:rsidRPr="008E1EA1">
        <w:rPr>
          <w:i/>
          <w:iCs/>
        </w:rPr>
        <w:t>Ostrovar</w:t>
      </w:r>
      <w:proofErr w:type="spellEnd"/>
      <w:r w:rsidR="00C934B9" w:rsidRPr="008E1EA1">
        <w:rPr>
          <w:i/>
          <w:iCs/>
        </w:rPr>
        <w:t xml:space="preserve"> </w:t>
      </w:r>
      <w:r w:rsidR="00C934B9" w:rsidRPr="008E1EA1">
        <w:t xml:space="preserve">v. </w:t>
      </w:r>
      <w:r w:rsidR="00C934B9">
        <w:rPr>
          <w:i/>
          <w:iCs/>
        </w:rPr>
        <w:t>Moldova, 1</w:t>
      </w:r>
      <w:r w:rsidR="00C934B9" w:rsidRPr="008E1EA1">
        <w:rPr>
          <w:i/>
          <w:iCs/>
        </w:rPr>
        <w:t>5/02/2006</w:t>
      </w:r>
      <w:r w:rsidR="00C934B9">
        <w:rPr>
          <w:i/>
          <w:iCs/>
        </w:rPr>
        <w:t>;</w:t>
      </w:r>
      <w:r w:rsidR="00C934B9" w:rsidRPr="008E1EA1">
        <w:rPr>
          <w:i/>
          <w:iCs/>
        </w:rPr>
        <w:t xml:space="preserve"> </w:t>
      </w:r>
      <w:proofErr w:type="spellStart"/>
      <w:r w:rsidR="00C934B9" w:rsidRPr="008E1EA1">
        <w:rPr>
          <w:i/>
          <w:iCs/>
        </w:rPr>
        <w:t>Lavents</w:t>
      </w:r>
      <w:proofErr w:type="spellEnd"/>
      <w:r w:rsidR="00C934B9" w:rsidRPr="008E1EA1">
        <w:rPr>
          <w:i/>
          <w:iCs/>
        </w:rPr>
        <w:t xml:space="preserve"> </w:t>
      </w:r>
      <w:r w:rsidR="00C934B9">
        <w:rPr>
          <w:i/>
          <w:iCs/>
        </w:rPr>
        <w:t>v</w:t>
      </w:r>
      <w:r w:rsidR="00C934B9" w:rsidRPr="00A1612F">
        <w:t xml:space="preserve">. </w:t>
      </w:r>
      <w:r w:rsidR="00C934B9" w:rsidRPr="00A1612F">
        <w:rPr>
          <w:i/>
          <w:iCs/>
        </w:rPr>
        <w:t>Latvia 28/11/2003</w:t>
      </w:r>
      <w:r w:rsidR="00C934B9">
        <w:rPr>
          <w:i/>
          <w:iCs/>
        </w:rPr>
        <w:t>)</w:t>
      </w:r>
      <w:r w:rsidR="00C934B9" w:rsidRPr="008E1EA1">
        <w:rPr>
          <w:i/>
          <w:iCs/>
        </w:rPr>
        <w:t xml:space="preserve"> </w:t>
      </w:r>
      <w:r w:rsidR="00C934B9" w:rsidRPr="008E1EA1">
        <w:t>though,</w:t>
      </w:r>
      <w:r w:rsidR="00C934B9">
        <w:t xml:space="preserve"> </w:t>
      </w:r>
      <w:r w:rsidR="00C934B9" w:rsidRPr="008E1EA1">
        <w:t xml:space="preserve">taking into consideration the </w:t>
      </w:r>
      <w:r w:rsidR="00C934B9" w:rsidRPr="00A0085B">
        <w:rPr>
          <w:iCs/>
        </w:rPr>
        <w:t>differences</w:t>
      </w:r>
      <w:r w:rsidR="00C934B9" w:rsidRPr="008E1EA1">
        <w:rPr>
          <w:i/>
          <w:iCs/>
        </w:rPr>
        <w:t xml:space="preserve"> </w:t>
      </w:r>
      <w:r w:rsidR="00C934B9" w:rsidRPr="008E1EA1">
        <w:t>between this prese</w:t>
      </w:r>
      <w:r w:rsidR="00C934B9">
        <w:t xml:space="preserve">nt case and the mentioned other </w:t>
      </w:r>
      <w:r w:rsidR="00C934B9" w:rsidRPr="008E1EA1">
        <w:t>Court</w:t>
      </w:r>
      <w:r w:rsidR="00E55886">
        <w:t>’</w:t>
      </w:r>
      <w:r w:rsidR="00C934B9" w:rsidRPr="008E1EA1">
        <w:t xml:space="preserve">s case-law under the aspects of: </w:t>
      </w:r>
      <w:proofErr w:type="spellStart"/>
      <w:r w:rsidR="00C934B9" w:rsidRPr="00A1612F">
        <w:rPr>
          <w:iCs/>
        </w:rPr>
        <w:t>i</w:t>
      </w:r>
      <w:proofErr w:type="spellEnd"/>
      <w:r w:rsidR="00C934B9" w:rsidRPr="00A1612F">
        <w:rPr>
          <w:iCs/>
        </w:rPr>
        <w:t>) duration of denial</w:t>
      </w:r>
      <w:r w:rsidR="00C934B9" w:rsidRPr="008E1EA1">
        <w:rPr>
          <w:i/>
          <w:iCs/>
        </w:rPr>
        <w:t xml:space="preserve"> </w:t>
      </w:r>
      <w:r w:rsidR="00C934B9" w:rsidRPr="008E1EA1">
        <w:t>(in the present case GATTO, the</w:t>
      </w:r>
      <w:r w:rsidR="00C934B9">
        <w:t xml:space="preserve"> </w:t>
      </w:r>
      <w:r w:rsidR="00C934B9" w:rsidRPr="008E1EA1">
        <w:t>denial of personal conferences lasted approximately 1 year; in the other cases mentioned, the</w:t>
      </w:r>
      <w:r w:rsidR="00C934B9">
        <w:t xml:space="preserve"> </w:t>
      </w:r>
      <w:r w:rsidR="00C934B9" w:rsidRPr="008E1EA1">
        <w:t xml:space="preserve">denial lasted more than 1 year up to 4 years); </w:t>
      </w:r>
      <w:r w:rsidR="00C934B9" w:rsidRPr="00A1612F">
        <w:rPr>
          <w:iCs/>
        </w:rPr>
        <w:t>ii) the quality of the applicant</w:t>
      </w:r>
      <w:r w:rsidR="00C934B9" w:rsidRPr="008E1EA1">
        <w:rPr>
          <w:i/>
          <w:iCs/>
        </w:rPr>
        <w:t xml:space="preserve"> </w:t>
      </w:r>
      <w:r w:rsidR="00C934B9" w:rsidRPr="008E1EA1">
        <w:t>(in the present</w:t>
      </w:r>
      <w:r w:rsidR="00C934B9">
        <w:t xml:space="preserve"> </w:t>
      </w:r>
      <w:r w:rsidR="00C934B9" w:rsidRPr="008E1EA1">
        <w:t xml:space="preserve">case GATTO, the applicant is the </w:t>
      </w:r>
      <w:r w:rsidR="00C934B9" w:rsidRPr="00A1612F">
        <w:t>wife</w:t>
      </w:r>
      <w:r w:rsidR="00C934B9" w:rsidRPr="008E1EA1">
        <w:t xml:space="preserve"> of a subject in custody on remand; in the other cases</w:t>
      </w:r>
      <w:r w:rsidR="00C934B9">
        <w:t xml:space="preserve"> </w:t>
      </w:r>
      <w:r w:rsidR="00C934B9" w:rsidRPr="008E1EA1">
        <w:t>mentioned, the applicant was the detainee and, thus, in the view of this Government,</w:t>
      </w:r>
      <w:r w:rsidR="00C934B9">
        <w:t xml:space="preserve"> </w:t>
      </w:r>
      <w:r w:rsidR="00C934B9" w:rsidRPr="008E1EA1">
        <w:t>exposed to a greater sense of anguish with respect to the limitation of his right to family</w:t>
      </w:r>
      <w:r w:rsidR="00C934B9">
        <w:t xml:space="preserve"> </w:t>
      </w:r>
      <w:r w:rsidR="00C934B9" w:rsidRPr="008E1EA1">
        <w:t>life);</w:t>
      </w:r>
    </w:p>
    <w:p w:rsidR="00C934B9" w:rsidRPr="00A1612F" w:rsidRDefault="005228C2" w:rsidP="0083422D">
      <w:pPr>
        <w:pStyle w:val="ECHRParaQuote"/>
      </w:pPr>
      <w:r>
        <w:t>b) </w:t>
      </w:r>
      <w:r w:rsidR="00C934B9" w:rsidRPr="008E1EA1">
        <w:t>with respect to violation of Article 13 of the Convention, of the fact that the Itali</w:t>
      </w:r>
      <w:r w:rsidR="00C934B9">
        <w:t>an</w:t>
      </w:r>
      <w:r w:rsidR="00C934B9" w:rsidRPr="008E1EA1">
        <w:t xml:space="preserve"> State</w:t>
      </w:r>
      <w:r w:rsidR="00C934B9">
        <w:t xml:space="preserve"> </w:t>
      </w:r>
      <w:r w:rsidR="00C934B9" w:rsidRPr="008E1EA1">
        <w:t>has subsequently resolved the problem of the lack of appropriate remedy in such cases by</w:t>
      </w:r>
      <w:r w:rsidR="00C934B9">
        <w:t xml:space="preserve"> </w:t>
      </w:r>
      <w:r w:rsidR="00C934B9" w:rsidRPr="008E1EA1">
        <w:t>consolidating the new jurisprudential trend of 2011 (</w:t>
      </w:r>
      <w:r w:rsidR="00C934B9" w:rsidRPr="00A0085B">
        <w:t xml:space="preserve">C. </w:t>
      </w:r>
      <w:r w:rsidR="00C934B9" w:rsidRPr="00A0085B">
        <w:rPr>
          <w:iCs/>
        </w:rPr>
        <w:t>Cass. 4.05.2011,</w:t>
      </w:r>
      <w:r w:rsidR="00C934B9" w:rsidRPr="008E1EA1">
        <w:rPr>
          <w:i/>
          <w:iCs/>
        </w:rPr>
        <w:t xml:space="preserve"> </w:t>
      </w:r>
      <w:proofErr w:type="spellStart"/>
      <w:r w:rsidR="00C934B9" w:rsidRPr="008E1EA1">
        <w:rPr>
          <w:i/>
          <w:iCs/>
        </w:rPr>
        <w:t>Virga</w:t>
      </w:r>
      <w:proofErr w:type="spellEnd"/>
      <w:r w:rsidR="00C934B9" w:rsidRPr="008E1EA1">
        <w:t>) allowing</w:t>
      </w:r>
      <w:r w:rsidR="00C934B9">
        <w:t xml:space="preserve"> </w:t>
      </w:r>
      <w:r w:rsidR="00C934B9" w:rsidRPr="008E1EA1">
        <w:t>the possibility to challenge a refusal decision to grant personal conferences, not only to</w:t>
      </w:r>
      <w:r w:rsidR="00C934B9">
        <w:t xml:space="preserve"> </w:t>
      </w:r>
      <w:r w:rsidR="00C934B9" w:rsidRPr="008E1EA1">
        <w:t xml:space="preserve">convicted detainees, but also to detainees </w:t>
      </w:r>
      <w:r w:rsidR="00C934B9">
        <w:t>under</w:t>
      </w:r>
      <w:r w:rsidR="00C934B9" w:rsidRPr="008E1EA1">
        <w:t xml:space="preserve"> precautionary custody. Therefore, by means</w:t>
      </w:r>
      <w:r w:rsidR="00C934B9">
        <w:t xml:space="preserve"> </w:t>
      </w:r>
      <w:r w:rsidR="00C934B9" w:rsidRPr="008E1EA1">
        <w:t xml:space="preserve">of this established jurisprudence the </w:t>
      </w:r>
      <w:r w:rsidR="00C934B9" w:rsidRPr="008E1EA1">
        <w:lastRenderedPageBreak/>
        <w:t>system has been equipped with a remedy and this has</w:t>
      </w:r>
      <w:r w:rsidR="00C934B9">
        <w:t xml:space="preserve"> </w:t>
      </w:r>
      <w:r w:rsidR="00C934B9" w:rsidRPr="008E1EA1">
        <w:t>prevented other subsequent violations (see, later C. Cass. 24.02.2014</w:t>
      </w:r>
      <w:r w:rsidR="00C934B9">
        <w:t>,</w:t>
      </w:r>
      <w:r w:rsidR="00C934B9" w:rsidRPr="008E1EA1">
        <w:t xml:space="preserve"> n. 8798)</w:t>
      </w:r>
      <w:r w:rsidR="00C934B9">
        <w:t>.</w:t>
      </w:r>
      <w:r w:rsidR="00C934B9" w:rsidRPr="00A1612F">
        <w:t> »</w:t>
      </w:r>
    </w:p>
    <w:p w:rsidR="00C934B9" w:rsidRPr="003029F4" w:rsidRDefault="00C934B9" w:rsidP="0083422D">
      <w:pPr>
        <w:pStyle w:val="ECHRPara"/>
        <w:rPr>
          <w:szCs w:val="24"/>
          <w:lang w:val="fr-FR"/>
        </w:rPr>
      </w:pPr>
      <w:r w:rsidRPr="00E31EAE">
        <w:rPr>
          <w:szCs w:val="24"/>
          <w:lang w:val="fr-FR"/>
        </w:rPr>
        <w:t xml:space="preserve">Par une lettre du </w:t>
      </w:r>
      <w:r w:rsidRPr="00E31EAE">
        <w:rPr>
          <w:lang w:val="fr-FR"/>
        </w:rPr>
        <w:t>27 octobre 2015</w:t>
      </w:r>
      <w:r w:rsidRPr="00E31EAE">
        <w:rPr>
          <w:szCs w:val="24"/>
          <w:lang w:val="fr-FR"/>
        </w:rPr>
        <w:t xml:space="preserve">, la partie requérante </w:t>
      </w:r>
      <w:r w:rsidRPr="00E31EAE">
        <w:rPr>
          <w:lang w:val="fr-FR"/>
        </w:rPr>
        <w:t>a</w:t>
      </w:r>
      <w:r w:rsidRPr="00E31EAE">
        <w:rPr>
          <w:szCs w:val="24"/>
          <w:lang w:val="fr-FR"/>
        </w:rPr>
        <w:t xml:space="preserve"> </w:t>
      </w:r>
      <w:r w:rsidRPr="00E31EAE">
        <w:rPr>
          <w:lang w:val="fr-FR"/>
        </w:rPr>
        <w:t>indiqué qu</w:t>
      </w:r>
      <w:r w:rsidR="00E55886">
        <w:rPr>
          <w:lang w:val="fr-FR"/>
        </w:rPr>
        <w:t>’</w:t>
      </w:r>
      <w:r w:rsidRPr="00E31EAE">
        <w:rPr>
          <w:lang w:val="fr-FR"/>
        </w:rPr>
        <w:t>elle n</w:t>
      </w:r>
      <w:r w:rsidR="00E55886">
        <w:rPr>
          <w:lang w:val="fr-FR"/>
        </w:rPr>
        <w:t>’</w:t>
      </w:r>
      <w:r w:rsidRPr="00E31EAE">
        <w:rPr>
          <w:lang w:val="fr-FR"/>
        </w:rPr>
        <w:t>était pas satisfaite des termes de la déclaration u</w:t>
      </w:r>
      <w:r w:rsidRPr="003029F4">
        <w:rPr>
          <w:lang w:val="fr-FR"/>
        </w:rPr>
        <w:t>nilatérale</w:t>
      </w:r>
      <w:r>
        <w:rPr>
          <w:lang w:val="fr-FR"/>
        </w:rPr>
        <w:t>. Elle a observé que la Cour de cassation n</w:t>
      </w:r>
      <w:r w:rsidR="00E55886">
        <w:rPr>
          <w:lang w:val="fr-FR"/>
        </w:rPr>
        <w:t>’</w:t>
      </w:r>
      <w:r>
        <w:rPr>
          <w:lang w:val="fr-FR"/>
        </w:rPr>
        <w:t>avait reconnu qu</w:t>
      </w:r>
      <w:r w:rsidR="00E55886">
        <w:rPr>
          <w:lang w:val="fr-FR"/>
        </w:rPr>
        <w:t>’</w:t>
      </w:r>
      <w:r>
        <w:rPr>
          <w:lang w:val="fr-FR"/>
        </w:rPr>
        <w:t>en 2011 la possibilité de se pourvoir contre le rejet d</w:t>
      </w:r>
      <w:r w:rsidR="00E55886">
        <w:rPr>
          <w:lang w:val="fr-FR"/>
        </w:rPr>
        <w:t>’</w:t>
      </w:r>
      <w:r>
        <w:rPr>
          <w:lang w:val="fr-FR"/>
        </w:rPr>
        <w:t>une demande de colloque, qu</w:t>
      </w:r>
      <w:r w:rsidR="00E55886">
        <w:rPr>
          <w:lang w:val="fr-FR"/>
        </w:rPr>
        <w:t>’</w:t>
      </w:r>
      <w:r>
        <w:rPr>
          <w:lang w:val="fr-FR"/>
        </w:rPr>
        <w:t>un revirement de jurisprudence sur ce point ne pouvait être exclu et que la somme proposée par le Gouvernement était insuffisante. La requérante</w:t>
      </w:r>
      <w:r w:rsidR="00C41ED1">
        <w:rPr>
          <w:lang w:val="fr-FR"/>
        </w:rPr>
        <w:t xml:space="preserve"> a</w:t>
      </w:r>
      <w:r>
        <w:rPr>
          <w:lang w:val="fr-FR"/>
        </w:rPr>
        <w:t xml:space="preserve"> chiffré le préjudice découlant de la violation alléguée de l</w:t>
      </w:r>
      <w:r w:rsidR="00E55886">
        <w:rPr>
          <w:lang w:val="fr-FR"/>
        </w:rPr>
        <w:t>’</w:t>
      </w:r>
      <w:r>
        <w:rPr>
          <w:lang w:val="fr-FR"/>
        </w:rPr>
        <w:t>article 8 de la Convention à 10 000 euros (EUR)</w:t>
      </w:r>
      <w:r w:rsidRPr="003029F4">
        <w:rPr>
          <w:lang w:val="fr-FR"/>
        </w:rPr>
        <w:t>.</w:t>
      </w:r>
    </w:p>
    <w:p w:rsidR="00C934B9" w:rsidRPr="003029F4" w:rsidRDefault="00C934B9" w:rsidP="0083422D">
      <w:pPr>
        <w:pStyle w:val="ECHRPara"/>
        <w:rPr>
          <w:lang w:val="fr-FR"/>
        </w:rPr>
      </w:pPr>
      <w:r w:rsidRPr="003029F4">
        <w:rPr>
          <w:szCs w:val="24"/>
          <w:lang w:val="fr-FR"/>
        </w:rPr>
        <w:t>La Cour rappelle qu</w:t>
      </w:r>
      <w:r w:rsidR="00E55886">
        <w:rPr>
          <w:szCs w:val="24"/>
          <w:lang w:val="fr-FR"/>
        </w:rPr>
        <w:t>’</w:t>
      </w:r>
      <w:r w:rsidRPr="003029F4">
        <w:rPr>
          <w:szCs w:val="24"/>
          <w:lang w:val="fr-FR"/>
        </w:rPr>
        <w:t>en vertu de l</w:t>
      </w:r>
      <w:r w:rsidR="00E55886">
        <w:rPr>
          <w:szCs w:val="24"/>
          <w:lang w:val="fr-FR"/>
        </w:rPr>
        <w:t>’</w:t>
      </w:r>
      <w:r w:rsidRPr="003029F4">
        <w:rPr>
          <w:szCs w:val="24"/>
          <w:lang w:val="fr-FR"/>
        </w:rPr>
        <w:t xml:space="preserve">article </w:t>
      </w:r>
      <w:r w:rsidRPr="003029F4">
        <w:rPr>
          <w:lang w:val="fr-FR"/>
        </w:rPr>
        <w:t>37 de la Convention, à tout moment de la procédure, elle peut décider de rayer une requête du rôle lorsque les circonstances l</w:t>
      </w:r>
      <w:r w:rsidR="00E55886">
        <w:rPr>
          <w:lang w:val="fr-FR"/>
        </w:rPr>
        <w:t>’</w:t>
      </w:r>
      <w:r w:rsidRPr="003029F4">
        <w:rPr>
          <w:lang w:val="fr-FR"/>
        </w:rPr>
        <w:t>amènent à l</w:t>
      </w:r>
      <w:r w:rsidR="00E55886">
        <w:rPr>
          <w:lang w:val="fr-FR"/>
        </w:rPr>
        <w:t>’</w:t>
      </w:r>
      <w:r w:rsidRPr="003029F4">
        <w:rPr>
          <w:lang w:val="fr-FR"/>
        </w:rPr>
        <w:t>une des conclusions énoncées aux alinéas a), b) ou c) du paragraphe 1 de cet article. L</w:t>
      </w:r>
      <w:r w:rsidR="00E55886">
        <w:rPr>
          <w:lang w:val="fr-FR"/>
        </w:rPr>
        <w:t>’</w:t>
      </w:r>
      <w:r w:rsidRPr="003029F4">
        <w:rPr>
          <w:lang w:val="fr-FR"/>
        </w:rPr>
        <w:t>article 37 § 1 c) lui permet en particulier de rayer une affaire du rôle si :</w:t>
      </w:r>
    </w:p>
    <w:p w:rsidR="00C934B9" w:rsidRPr="003029F4" w:rsidRDefault="00C934B9" w:rsidP="0083422D">
      <w:pPr>
        <w:pStyle w:val="ECHRParaQuote"/>
        <w:rPr>
          <w:szCs w:val="24"/>
          <w:lang w:val="fr-FR"/>
        </w:rPr>
      </w:pPr>
      <w:r w:rsidRPr="003029F4">
        <w:rPr>
          <w:lang w:val="fr-FR"/>
        </w:rPr>
        <w:t>« pour tout autre motif dont la Cour constate l</w:t>
      </w:r>
      <w:r w:rsidR="00E55886">
        <w:rPr>
          <w:lang w:val="fr-FR"/>
        </w:rPr>
        <w:t>’</w:t>
      </w:r>
      <w:r w:rsidRPr="003029F4">
        <w:rPr>
          <w:lang w:val="fr-FR"/>
        </w:rPr>
        <w:t>existence, il ne se justifie plus de poursuivre l</w:t>
      </w:r>
      <w:r w:rsidR="00E55886">
        <w:rPr>
          <w:lang w:val="fr-FR"/>
        </w:rPr>
        <w:t>’</w:t>
      </w:r>
      <w:r w:rsidRPr="003029F4">
        <w:rPr>
          <w:lang w:val="fr-FR"/>
        </w:rPr>
        <w:t xml:space="preserve">examen de la </w:t>
      </w:r>
      <w:proofErr w:type="gramStart"/>
      <w:r w:rsidRPr="003029F4">
        <w:rPr>
          <w:lang w:val="fr-FR"/>
        </w:rPr>
        <w:t>requête  »</w:t>
      </w:r>
      <w:proofErr w:type="gramEnd"/>
      <w:r w:rsidRPr="003029F4">
        <w:rPr>
          <w:lang w:val="fr-FR"/>
        </w:rPr>
        <w:t>.</w:t>
      </w:r>
    </w:p>
    <w:p w:rsidR="00C934B9" w:rsidRPr="003029F4" w:rsidRDefault="00C934B9" w:rsidP="0083422D">
      <w:pPr>
        <w:pStyle w:val="ECHRPara"/>
        <w:rPr>
          <w:szCs w:val="24"/>
          <w:lang w:val="fr-FR"/>
        </w:rPr>
      </w:pPr>
      <w:r w:rsidRPr="003029F4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E55886">
        <w:rPr>
          <w:szCs w:val="24"/>
          <w:lang w:val="fr-FR"/>
        </w:rPr>
        <w:t>’</w:t>
      </w:r>
      <w:r w:rsidRPr="003029F4">
        <w:rPr>
          <w:szCs w:val="24"/>
          <w:lang w:val="fr-FR"/>
        </w:rPr>
        <w:t>article 37 § 1 c) sur la base d</w:t>
      </w:r>
      <w:r w:rsidR="00E55886">
        <w:rPr>
          <w:szCs w:val="24"/>
          <w:lang w:val="fr-FR"/>
        </w:rPr>
        <w:t>’</w:t>
      </w:r>
      <w:r w:rsidRPr="003029F4">
        <w:rPr>
          <w:szCs w:val="24"/>
          <w:lang w:val="fr-FR"/>
        </w:rPr>
        <w:t>une déclaration unilatérale du gouvernement défendeur même si le requérant souhaite que l</w:t>
      </w:r>
      <w:r w:rsidR="00E55886">
        <w:rPr>
          <w:szCs w:val="24"/>
          <w:lang w:val="fr-FR"/>
        </w:rPr>
        <w:t>’</w:t>
      </w:r>
      <w:r w:rsidRPr="003029F4">
        <w:rPr>
          <w:szCs w:val="24"/>
          <w:lang w:val="fr-FR"/>
        </w:rPr>
        <w:t>examen de l</w:t>
      </w:r>
      <w:r w:rsidR="00E55886">
        <w:rPr>
          <w:szCs w:val="24"/>
          <w:lang w:val="fr-FR"/>
        </w:rPr>
        <w:t>’</w:t>
      </w:r>
      <w:r w:rsidRPr="003029F4">
        <w:rPr>
          <w:szCs w:val="24"/>
          <w:lang w:val="fr-FR"/>
        </w:rPr>
        <w:t>affaire se poursuive.</w:t>
      </w:r>
    </w:p>
    <w:p w:rsidR="00C934B9" w:rsidRPr="003029F4" w:rsidRDefault="00C934B9" w:rsidP="0083422D">
      <w:pPr>
        <w:pStyle w:val="ECHRPara"/>
        <w:rPr>
          <w:lang w:val="fr-FR"/>
        </w:rPr>
      </w:pPr>
      <w:r w:rsidRPr="003029F4">
        <w:rPr>
          <w:lang w:val="fr-FR"/>
        </w:rPr>
        <w:t>À</w:t>
      </w:r>
      <w:r w:rsidRPr="003029F4">
        <w:rPr>
          <w:szCs w:val="24"/>
          <w:lang w:val="fr-FR"/>
        </w:rPr>
        <w:t xml:space="preserve"> cette fin, la Cour </w:t>
      </w:r>
      <w:r>
        <w:rPr>
          <w:szCs w:val="24"/>
          <w:lang w:val="fr-FR"/>
        </w:rPr>
        <w:t>a examiné</w:t>
      </w:r>
      <w:r w:rsidRPr="003029F4">
        <w:rPr>
          <w:szCs w:val="24"/>
          <w:lang w:val="fr-FR"/>
        </w:rPr>
        <w:t xml:space="preserve"> de près la déclaration à la lumière des principes que consacre sa jurisprudence, en particulier l</w:t>
      </w:r>
      <w:r w:rsidR="00E55886">
        <w:rPr>
          <w:szCs w:val="24"/>
          <w:lang w:val="fr-FR"/>
        </w:rPr>
        <w:t>’</w:t>
      </w:r>
      <w:r w:rsidRPr="003029F4">
        <w:rPr>
          <w:szCs w:val="24"/>
          <w:lang w:val="fr-FR"/>
        </w:rPr>
        <w:t xml:space="preserve">arrêt </w:t>
      </w:r>
      <w:proofErr w:type="spellStart"/>
      <w:r w:rsidRPr="003029F4">
        <w:rPr>
          <w:i/>
          <w:lang w:val="fr-FR"/>
        </w:rPr>
        <w:t>Tahsin</w:t>
      </w:r>
      <w:proofErr w:type="spellEnd"/>
      <w:r w:rsidRPr="003029F4">
        <w:rPr>
          <w:i/>
          <w:lang w:val="fr-FR"/>
        </w:rPr>
        <w:t xml:space="preserve"> </w:t>
      </w:r>
      <w:proofErr w:type="spellStart"/>
      <w:r w:rsidRPr="003029F4">
        <w:rPr>
          <w:i/>
          <w:lang w:val="fr-FR"/>
        </w:rPr>
        <w:t>Acar</w:t>
      </w:r>
      <w:proofErr w:type="spellEnd"/>
      <w:r w:rsidRPr="003029F4">
        <w:rPr>
          <w:i/>
          <w:lang w:val="fr-FR"/>
        </w:rPr>
        <w:t xml:space="preserve"> </w:t>
      </w:r>
      <w:r w:rsidRPr="003029F4">
        <w:rPr>
          <w:lang w:val="fr-FR"/>
        </w:rPr>
        <w:t>(</w:t>
      </w:r>
      <w:proofErr w:type="spellStart"/>
      <w:r w:rsidRPr="003029F4">
        <w:rPr>
          <w:i/>
          <w:lang w:val="fr-FR"/>
        </w:rPr>
        <w:t>Tahsin</w:t>
      </w:r>
      <w:proofErr w:type="spellEnd"/>
      <w:r w:rsidRPr="003029F4">
        <w:rPr>
          <w:i/>
          <w:lang w:val="fr-FR"/>
        </w:rPr>
        <w:t xml:space="preserve"> </w:t>
      </w:r>
      <w:proofErr w:type="spellStart"/>
      <w:r w:rsidRPr="003029F4">
        <w:rPr>
          <w:i/>
          <w:lang w:val="fr-FR"/>
        </w:rPr>
        <w:t>Acar</w:t>
      </w:r>
      <w:proofErr w:type="spellEnd"/>
      <w:r w:rsidRPr="003029F4">
        <w:rPr>
          <w:i/>
          <w:lang w:val="fr-FR"/>
        </w:rPr>
        <w:t xml:space="preserve"> c. Turquie</w:t>
      </w:r>
      <w:r w:rsidRPr="003029F4">
        <w:rPr>
          <w:iCs/>
          <w:lang w:val="fr-FR"/>
        </w:rPr>
        <w:t xml:space="preserve"> (question préliminaire) </w:t>
      </w:r>
      <w:r w:rsidRPr="006D746A">
        <w:rPr>
          <w:lang w:val="fr-FR"/>
        </w:rPr>
        <w:t>[</w:t>
      </w:r>
      <w:r w:rsidRPr="003029F4">
        <w:rPr>
          <w:lang w:val="fr-FR"/>
        </w:rPr>
        <w:t>GC],</w:t>
      </w:r>
      <w:r w:rsidRPr="003029F4">
        <w:rPr>
          <w:i/>
          <w:lang w:val="fr-FR"/>
        </w:rPr>
        <w:t xml:space="preserve"> </w:t>
      </w:r>
      <w:r w:rsidRPr="003029F4">
        <w:rPr>
          <w:lang w:val="fr-FR"/>
        </w:rPr>
        <w:t>n</w:t>
      </w:r>
      <w:r w:rsidRPr="003029F4">
        <w:rPr>
          <w:vertAlign w:val="superscript"/>
          <w:lang w:val="fr-FR"/>
        </w:rPr>
        <w:t xml:space="preserve">o </w:t>
      </w:r>
      <w:r w:rsidRPr="003029F4">
        <w:rPr>
          <w:lang w:val="fr-FR"/>
        </w:rPr>
        <w:t>26307/95, §§ 75</w:t>
      </w:r>
      <w:r w:rsidRPr="003029F4">
        <w:rPr>
          <w:lang w:val="fr-FR"/>
        </w:rPr>
        <w:noBreakHyphen/>
        <w:t>77, CEDH 2003</w:t>
      </w:r>
      <w:r w:rsidRPr="003029F4">
        <w:rPr>
          <w:lang w:val="fr-FR"/>
        </w:rPr>
        <w:noBreakHyphen/>
        <w:t>VI</w:t>
      </w:r>
      <w:r>
        <w:rPr>
          <w:lang w:val="fr-FR"/>
        </w:rPr>
        <w:t> ;</w:t>
      </w:r>
      <w:r w:rsidRPr="003029F4">
        <w:rPr>
          <w:lang w:val="fr-FR"/>
        </w:rPr>
        <w:t xml:space="preserve"> </w:t>
      </w:r>
      <w:r w:rsidRPr="003029F4">
        <w:rPr>
          <w:i/>
          <w:szCs w:val="24"/>
          <w:lang w:val="fr-FR"/>
        </w:rPr>
        <w:t xml:space="preserve">WAZA </w:t>
      </w:r>
      <w:proofErr w:type="spellStart"/>
      <w:r w:rsidRPr="003029F4">
        <w:rPr>
          <w:i/>
          <w:szCs w:val="24"/>
          <w:lang w:val="fr-FR"/>
        </w:rPr>
        <w:t>Spółka</w:t>
      </w:r>
      <w:proofErr w:type="spellEnd"/>
      <w:r w:rsidRPr="003029F4">
        <w:rPr>
          <w:i/>
          <w:szCs w:val="24"/>
          <w:lang w:val="fr-FR"/>
        </w:rPr>
        <w:t xml:space="preserve"> z </w:t>
      </w:r>
      <w:proofErr w:type="spellStart"/>
      <w:r w:rsidRPr="003029F4">
        <w:rPr>
          <w:i/>
          <w:szCs w:val="24"/>
          <w:lang w:val="fr-FR"/>
        </w:rPr>
        <w:t>o.o</w:t>
      </w:r>
      <w:proofErr w:type="spellEnd"/>
      <w:r w:rsidRPr="003029F4">
        <w:rPr>
          <w:i/>
          <w:szCs w:val="24"/>
          <w:lang w:val="fr-FR"/>
        </w:rPr>
        <w:t xml:space="preserve">. c. Pologne </w:t>
      </w:r>
      <w:r w:rsidRPr="003029F4">
        <w:rPr>
          <w:szCs w:val="24"/>
          <w:lang w:val="fr-FR"/>
        </w:rPr>
        <w:t>(déc.), n</w:t>
      </w:r>
      <w:r w:rsidRPr="003029F4">
        <w:rPr>
          <w:szCs w:val="24"/>
          <w:vertAlign w:val="superscript"/>
          <w:lang w:val="fr-FR"/>
        </w:rPr>
        <w:t>o</w:t>
      </w:r>
      <w:r w:rsidRPr="003029F4">
        <w:rPr>
          <w:szCs w:val="24"/>
          <w:lang w:val="fr-FR"/>
        </w:rPr>
        <w:t> 11602/02, 26 juin 2007</w:t>
      </w:r>
      <w:r>
        <w:rPr>
          <w:szCs w:val="24"/>
          <w:lang w:val="fr-FR"/>
        </w:rPr>
        <w:t> ;</w:t>
      </w:r>
      <w:r w:rsidRPr="003029F4">
        <w:rPr>
          <w:szCs w:val="24"/>
          <w:lang w:val="fr-FR"/>
        </w:rPr>
        <w:t xml:space="preserve"> et </w:t>
      </w:r>
      <w:proofErr w:type="spellStart"/>
      <w:r w:rsidRPr="003029F4">
        <w:rPr>
          <w:i/>
          <w:szCs w:val="24"/>
          <w:lang w:val="fr-FR"/>
        </w:rPr>
        <w:t>Sulwińska</w:t>
      </w:r>
      <w:proofErr w:type="spellEnd"/>
      <w:r w:rsidRPr="003029F4">
        <w:rPr>
          <w:i/>
          <w:szCs w:val="24"/>
          <w:lang w:val="fr-FR"/>
        </w:rPr>
        <w:t xml:space="preserve"> c. Pologne</w:t>
      </w:r>
      <w:r w:rsidRPr="003029F4">
        <w:rPr>
          <w:szCs w:val="24"/>
          <w:lang w:val="fr-FR"/>
        </w:rPr>
        <w:t xml:space="preserve"> (déc.), n</w:t>
      </w:r>
      <w:r w:rsidRPr="003029F4">
        <w:rPr>
          <w:szCs w:val="24"/>
          <w:vertAlign w:val="superscript"/>
          <w:lang w:val="fr-FR"/>
        </w:rPr>
        <w:t>o</w:t>
      </w:r>
      <w:r w:rsidRPr="003029F4">
        <w:rPr>
          <w:szCs w:val="24"/>
          <w:lang w:val="fr-FR"/>
        </w:rPr>
        <w:t xml:space="preserve"> 28953/03, 18 septembre 2007</w:t>
      </w:r>
      <w:r w:rsidRPr="003029F4">
        <w:rPr>
          <w:lang w:val="fr-FR"/>
        </w:rPr>
        <w:t>).</w:t>
      </w:r>
    </w:p>
    <w:p w:rsidR="00C934B9" w:rsidRPr="003029F4" w:rsidRDefault="00C934B9" w:rsidP="0083422D">
      <w:pPr>
        <w:pStyle w:val="ECHRPara"/>
        <w:rPr>
          <w:lang w:val="fr-FR"/>
        </w:rPr>
      </w:pPr>
      <w:r w:rsidRPr="0040617E">
        <w:rPr>
          <w:lang w:val="fr-FR"/>
        </w:rPr>
        <w:t>La Cour a établi dans un certain nombre d</w:t>
      </w:r>
      <w:r w:rsidR="00E55886">
        <w:rPr>
          <w:lang w:val="fr-FR"/>
        </w:rPr>
        <w:t>’</w:t>
      </w:r>
      <w:r w:rsidRPr="0040617E">
        <w:rPr>
          <w:lang w:val="fr-FR"/>
        </w:rPr>
        <w:t>affaires sa pratique en ce qui concerne les griefs tirés de la violation de l</w:t>
      </w:r>
      <w:r w:rsidR="00E55886">
        <w:rPr>
          <w:lang w:val="fr-FR"/>
        </w:rPr>
        <w:t>’</w:t>
      </w:r>
      <w:r w:rsidRPr="0040617E">
        <w:rPr>
          <w:lang w:val="fr-FR"/>
        </w:rPr>
        <w:t>article 8 de la Convention en raison de l</w:t>
      </w:r>
      <w:r w:rsidR="00E55886">
        <w:rPr>
          <w:lang w:val="fr-FR"/>
        </w:rPr>
        <w:t>’</w:t>
      </w:r>
      <w:r w:rsidRPr="0040617E">
        <w:rPr>
          <w:lang w:val="fr-FR"/>
        </w:rPr>
        <w:t>impossibilité prolongée, pour un prisonnier, d</w:t>
      </w:r>
      <w:r w:rsidR="00E55886">
        <w:rPr>
          <w:lang w:val="fr-FR"/>
        </w:rPr>
        <w:t>’</w:t>
      </w:r>
      <w:r w:rsidRPr="0040617E">
        <w:rPr>
          <w:lang w:val="fr-FR"/>
        </w:rPr>
        <w:t xml:space="preserve">obtenir des colloques avec les membres de sa famille (voir, par exemple, </w:t>
      </w:r>
      <w:proofErr w:type="spellStart"/>
      <w:r w:rsidRPr="00511AA2">
        <w:rPr>
          <w:i/>
          <w:lang w:val="fr-FR"/>
        </w:rPr>
        <w:t>Messina</w:t>
      </w:r>
      <w:proofErr w:type="spellEnd"/>
      <w:r w:rsidRPr="00511AA2">
        <w:rPr>
          <w:i/>
          <w:lang w:val="fr-FR"/>
        </w:rPr>
        <w:t xml:space="preserve"> c.</w:t>
      </w:r>
      <w:r>
        <w:rPr>
          <w:i/>
          <w:lang w:val="fr-FR"/>
        </w:rPr>
        <w:t> </w:t>
      </w:r>
      <w:r w:rsidRPr="00511AA2">
        <w:rPr>
          <w:i/>
          <w:lang w:val="fr-FR"/>
        </w:rPr>
        <w:t>Italie (n</w:t>
      </w:r>
      <w:r w:rsidR="00C41ED1" w:rsidRPr="00C41ED1">
        <w:rPr>
          <w:i/>
          <w:vertAlign w:val="superscript"/>
          <w:lang w:val="fr-FR"/>
        </w:rPr>
        <w:t>o</w:t>
      </w:r>
      <w:r w:rsidRPr="00511AA2">
        <w:rPr>
          <w:i/>
          <w:lang w:val="fr-FR"/>
        </w:rPr>
        <w:t xml:space="preserve"> 2)</w:t>
      </w:r>
      <w:r w:rsidRPr="00511AA2">
        <w:rPr>
          <w:lang w:val="fr-FR"/>
        </w:rPr>
        <w:t>, n</w:t>
      </w:r>
      <w:r w:rsidR="00C41ED1" w:rsidRPr="00C41ED1">
        <w:rPr>
          <w:vertAlign w:val="superscript"/>
          <w:lang w:val="fr-FR"/>
        </w:rPr>
        <w:t>o</w:t>
      </w:r>
      <w:r w:rsidRPr="00511AA2">
        <w:rPr>
          <w:lang w:val="fr-FR"/>
        </w:rPr>
        <w:t xml:space="preserve"> </w:t>
      </w:r>
      <w:r>
        <w:rPr>
          <w:lang w:val="fr-FR"/>
        </w:rPr>
        <w:t>25498/94</w:t>
      </w:r>
      <w:r w:rsidRPr="00511AA2">
        <w:rPr>
          <w:lang w:val="fr-FR"/>
        </w:rPr>
        <w:t>, §</w:t>
      </w:r>
      <w:r>
        <w:rPr>
          <w:lang w:val="fr-FR"/>
        </w:rPr>
        <w:t>§</w:t>
      </w:r>
      <w:r w:rsidRPr="00511AA2">
        <w:rPr>
          <w:lang w:val="fr-FR"/>
        </w:rPr>
        <w:t xml:space="preserve"> 61</w:t>
      </w:r>
      <w:r>
        <w:rPr>
          <w:lang w:val="fr-FR"/>
        </w:rPr>
        <w:t>-74</w:t>
      </w:r>
      <w:r w:rsidRPr="00511AA2">
        <w:rPr>
          <w:lang w:val="fr-FR"/>
        </w:rPr>
        <w:t xml:space="preserve">, </w:t>
      </w:r>
      <w:r>
        <w:rPr>
          <w:lang w:val="fr-FR"/>
        </w:rPr>
        <w:t>CEDH</w:t>
      </w:r>
      <w:r w:rsidRPr="00511AA2">
        <w:rPr>
          <w:lang w:val="fr-FR"/>
        </w:rPr>
        <w:t xml:space="preserve"> 2000</w:t>
      </w:r>
      <w:r>
        <w:rPr>
          <w:lang w:val="fr-FR"/>
        </w:rPr>
        <w:t>-</w:t>
      </w:r>
      <w:r w:rsidRPr="00511AA2">
        <w:rPr>
          <w:lang w:val="fr-FR"/>
        </w:rPr>
        <w:t>X</w:t>
      </w:r>
      <w:r>
        <w:rPr>
          <w:lang w:val="fr-FR"/>
        </w:rPr>
        <w:t xml:space="preserve"> ; </w:t>
      </w:r>
      <w:proofErr w:type="spellStart"/>
      <w:r w:rsidRPr="0040617E">
        <w:rPr>
          <w:i/>
          <w:lang w:val="fr-FR"/>
        </w:rPr>
        <w:t>Ostrovar</w:t>
      </w:r>
      <w:proofErr w:type="spellEnd"/>
      <w:r w:rsidRPr="0040617E">
        <w:rPr>
          <w:i/>
          <w:lang w:val="fr-FR"/>
        </w:rPr>
        <w:t xml:space="preserve"> c.</w:t>
      </w:r>
      <w:r>
        <w:rPr>
          <w:i/>
          <w:lang w:val="fr-FR"/>
        </w:rPr>
        <w:t> </w:t>
      </w:r>
      <w:r w:rsidRPr="0040617E">
        <w:rPr>
          <w:i/>
          <w:lang w:val="fr-FR"/>
        </w:rPr>
        <w:t>Moldova</w:t>
      </w:r>
      <w:r w:rsidRPr="0040617E">
        <w:rPr>
          <w:lang w:val="fr-FR"/>
        </w:rPr>
        <w:t>, n</w:t>
      </w:r>
      <w:r w:rsidR="00C41ED1" w:rsidRPr="00C41ED1">
        <w:rPr>
          <w:vertAlign w:val="superscript"/>
          <w:lang w:val="fr-FR"/>
        </w:rPr>
        <w:t>o</w:t>
      </w:r>
      <w:r w:rsidRPr="0040617E">
        <w:rPr>
          <w:lang w:val="fr-FR"/>
        </w:rPr>
        <w:t xml:space="preserve"> </w:t>
      </w:r>
      <w:r>
        <w:rPr>
          <w:lang w:val="fr-FR"/>
        </w:rPr>
        <w:t>35207/03</w:t>
      </w:r>
      <w:r w:rsidRPr="0040617E">
        <w:rPr>
          <w:lang w:val="fr-FR"/>
        </w:rPr>
        <w:t>, §§ 105-108, 13 septembre 2005;</w:t>
      </w:r>
      <w:r w:rsidRPr="003D195E">
        <w:rPr>
          <w:i/>
          <w:iCs/>
          <w:lang w:val="fr-FR"/>
        </w:rPr>
        <w:t xml:space="preserve"> </w:t>
      </w:r>
      <w:proofErr w:type="spellStart"/>
      <w:r w:rsidRPr="003D195E">
        <w:rPr>
          <w:i/>
          <w:iCs/>
          <w:lang w:val="fr-FR"/>
        </w:rPr>
        <w:t>Shalimov</w:t>
      </w:r>
      <w:proofErr w:type="spellEnd"/>
      <w:r w:rsidRPr="003D195E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c</w:t>
      </w:r>
      <w:r w:rsidRPr="003D195E">
        <w:rPr>
          <w:i/>
          <w:lang w:val="fr-FR"/>
        </w:rPr>
        <w:t>.</w:t>
      </w:r>
      <w:r w:rsidRPr="003D195E">
        <w:rPr>
          <w:lang w:val="fr-FR"/>
        </w:rPr>
        <w:t> </w:t>
      </w:r>
      <w:r w:rsidRPr="003D195E">
        <w:rPr>
          <w:i/>
          <w:iCs/>
          <w:lang w:val="fr-FR"/>
        </w:rPr>
        <w:t>Ukraine</w:t>
      </w:r>
      <w:r w:rsidRPr="003D195E">
        <w:rPr>
          <w:iCs/>
          <w:lang w:val="fr-FR"/>
        </w:rPr>
        <w:t>, n</w:t>
      </w:r>
      <w:r w:rsidR="00C41ED1" w:rsidRPr="00C41ED1">
        <w:rPr>
          <w:iCs/>
          <w:vertAlign w:val="superscript"/>
          <w:lang w:val="fr-FR"/>
        </w:rPr>
        <w:t>o</w:t>
      </w:r>
      <w:r w:rsidRPr="003D195E">
        <w:rPr>
          <w:iCs/>
          <w:lang w:val="fr-FR"/>
        </w:rPr>
        <w:t xml:space="preserve"> 20808/02, §§ 81-91,4 mars 2010</w:t>
      </w:r>
      <w:r>
        <w:rPr>
          <w:iCs/>
          <w:lang w:val="fr-FR"/>
        </w:rPr>
        <w:t xml:space="preserve"> ; </w:t>
      </w:r>
      <w:proofErr w:type="spellStart"/>
      <w:r w:rsidRPr="0040617E">
        <w:rPr>
          <w:i/>
          <w:iCs/>
          <w:lang w:val="fr-FR"/>
        </w:rPr>
        <w:t>Titarenko</w:t>
      </w:r>
      <w:proofErr w:type="spellEnd"/>
      <w:r w:rsidRPr="0040617E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c</w:t>
      </w:r>
      <w:r w:rsidRPr="0040617E">
        <w:rPr>
          <w:lang w:val="fr-FR"/>
        </w:rPr>
        <w:t xml:space="preserve">. </w:t>
      </w:r>
      <w:r w:rsidRPr="0040617E">
        <w:rPr>
          <w:i/>
          <w:iCs/>
          <w:lang w:val="fr-FR"/>
        </w:rPr>
        <w:t>Ukraine</w:t>
      </w:r>
      <w:r>
        <w:rPr>
          <w:iCs/>
          <w:lang w:val="fr-FR"/>
        </w:rPr>
        <w:t>, n</w:t>
      </w:r>
      <w:r w:rsidR="00C41ED1" w:rsidRPr="00C41ED1">
        <w:rPr>
          <w:iCs/>
          <w:vertAlign w:val="superscript"/>
          <w:lang w:val="fr-FR"/>
        </w:rPr>
        <w:t>o</w:t>
      </w:r>
      <w:r>
        <w:rPr>
          <w:iCs/>
          <w:lang w:val="fr-FR"/>
        </w:rPr>
        <w:t> 31720/02, §§ 99-104</w:t>
      </w:r>
      <w:r w:rsidRPr="0040617E">
        <w:rPr>
          <w:iCs/>
          <w:lang w:val="fr-FR"/>
        </w:rPr>
        <w:t>, 20 septembre 2012 ; et</w:t>
      </w:r>
      <w:r>
        <w:rPr>
          <w:i/>
          <w:iCs/>
          <w:lang w:val="fr-FR"/>
        </w:rPr>
        <w:t xml:space="preserve"> </w:t>
      </w:r>
      <w:proofErr w:type="spellStart"/>
      <w:r w:rsidRPr="00A33BB2">
        <w:rPr>
          <w:i/>
          <w:lang w:val="fr-FR"/>
        </w:rPr>
        <w:t>Khodorkovskiy</w:t>
      </w:r>
      <w:proofErr w:type="spellEnd"/>
      <w:r w:rsidRPr="00A33BB2">
        <w:rPr>
          <w:i/>
          <w:lang w:val="fr-FR"/>
        </w:rPr>
        <w:t xml:space="preserve"> et </w:t>
      </w:r>
      <w:proofErr w:type="spellStart"/>
      <w:r w:rsidRPr="00A33BB2">
        <w:rPr>
          <w:i/>
          <w:lang w:val="fr-FR"/>
        </w:rPr>
        <w:t>Lebedev</w:t>
      </w:r>
      <w:proofErr w:type="spellEnd"/>
      <w:r w:rsidRPr="00A33BB2">
        <w:rPr>
          <w:i/>
          <w:lang w:val="fr-FR"/>
        </w:rPr>
        <w:t xml:space="preserve"> c. Russie</w:t>
      </w:r>
      <w:r w:rsidRPr="00511AA2">
        <w:rPr>
          <w:lang w:val="fr-FR"/>
        </w:rPr>
        <w:t>, n</w:t>
      </w:r>
      <w:r w:rsidRPr="00A33BB2">
        <w:rPr>
          <w:vertAlign w:val="superscript"/>
          <w:lang w:val="fr-FR"/>
        </w:rPr>
        <w:t>os</w:t>
      </w:r>
      <w:r w:rsidRPr="00511AA2">
        <w:rPr>
          <w:lang w:val="fr-FR"/>
        </w:rPr>
        <w:t xml:space="preserve"> </w:t>
      </w:r>
      <w:r>
        <w:rPr>
          <w:lang w:val="fr-FR"/>
        </w:rPr>
        <w:t>11082/06</w:t>
      </w:r>
      <w:r w:rsidRPr="00A33BB2">
        <w:rPr>
          <w:lang w:val="fr-FR"/>
        </w:rPr>
        <w:t xml:space="preserve"> </w:t>
      </w:r>
      <w:r>
        <w:rPr>
          <w:lang w:val="fr-FR"/>
        </w:rPr>
        <w:t>et</w:t>
      </w:r>
      <w:r w:rsidRPr="00A33BB2">
        <w:rPr>
          <w:lang w:val="fr-FR"/>
        </w:rPr>
        <w:t xml:space="preserve"> </w:t>
      </w:r>
      <w:r>
        <w:rPr>
          <w:lang w:val="fr-FR"/>
        </w:rPr>
        <w:t>13772/05</w:t>
      </w:r>
      <w:r w:rsidRPr="00A33BB2">
        <w:rPr>
          <w:lang w:val="fr-FR"/>
        </w:rPr>
        <w:t>, § 83</w:t>
      </w:r>
      <w:r>
        <w:rPr>
          <w:lang w:val="fr-FR"/>
        </w:rPr>
        <w:t>5-851</w:t>
      </w:r>
      <w:r w:rsidRPr="00A33BB2">
        <w:rPr>
          <w:lang w:val="fr-FR"/>
        </w:rPr>
        <w:t xml:space="preserve">, 25 </w:t>
      </w:r>
      <w:r>
        <w:rPr>
          <w:lang w:val="fr-FR"/>
        </w:rPr>
        <w:t>juillet</w:t>
      </w:r>
      <w:r w:rsidRPr="00A33BB2">
        <w:rPr>
          <w:lang w:val="fr-FR"/>
        </w:rPr>
        <w:t xml:space="preserve"> 2013</w:t>
      </w:r>
      <w:r w:rsidRPr="0040617E">
        <w:rPr>
          <w:lang w:val="fr-FR"/>
        </w:rPr>
        <w:t>).</w:t>
      </w:r>
    </w:p>
    <w:p w:rsidR="00C934B9" w:rsidRPr="003029F4" w:rsidRDefault="00C934B9" w:rsidP="0083422D">
      <w:pPr>
        <w:pStyle w:val="ECHRPara"/>
        <w:rPr>
          <w:lang w:val="fr-FR"/>
        </w:rPr>
      </w:pPr>
      <w:r w:rsidRPr="003029F4">
        <w:rPr>
          <w:lang w:val="fr-FR"/>
        </w:rPr>
        <w:t>Eu égard à la nature des concessions que renferme la déclaration du Gouvernement, ainsi qu</w:t>
      </w:r>
      <w:r w:rsidR="00E55886">
        <w:rPr>
          <w:lang w:val="fr-FR"/>
        </w:rPr>
        <w:t>’</w:t>
      </w:r>
      <w:r w:rsidRPr="003029F4">
        <w:rPr>
          <w:lang w:val="fr-FR"/>
        </w:rPr>
        <w:t>au montant de l</w:t>
      </w:r>
      <w:r w:rsidR="00E55886">
        <w:rPr>
          <w:lang w:val="fr-FR"/>
        </w:rPr>
        <w:t>’</w:t>
      </w:r>
      <w:r w:rsidRPr="003029F4">
        <w:rPr>
          <w:lang w:val="fr-FR"/>
        </w:rPr>
        <w:t xml:space="preserve">indemnisation proposée – qui est conforme aux montants alloués </w:t>
      </w:r>
      <w:r w:rsidRPr="002648CD">
        <w:rPr>
          <w:lang w:val="fr-FR"/>
        </w:rPr>
        <w:t>dans des affaires similaires</w:t>
      </w:r>
      <w:r w:rsidRPr="003029F4">
        <w:rPr>
          <w:lang w:val="fr-FR"/>
        </w:rPr>
        <w:t xml:space="preserve"> –, la Cour estime qu</w:t>
      </w:r>
      <w:r w:rsidR="00E55886">
        <w:rPr>
          <w:lang w:val="fr-FR"/>
        </w:rPr>
        <w:t>’</w:t>
      </w:r>
      <w:r w:rsidRPr="003029F4">
        <w:rPr>
          <w:lang w:val="fr-FR"/>
        </w:rPr>
        <w:t>il ne se justifie plus de poursuivre l</w:t>
      </w:r>
      <w:r w:rsidR="00E55886">
        <w:rPr>
          <w:lang w:val="fr-FR"/>
        </w:rPr>
        <w:t>’</w:t>
      </w:r>
      <w:r w:rsidRPr="003029F4">
        <w:rPr>
          <w:lang w:val="fr-FR"/>
        </w:rPr>
        <w:t>examen de la requête (article</w:t>
      </w:r>
      <w:r w:rsidR="00266A22">
        <w:rPr>
          <w:lang w:val="fr-FR"/>
        </w:rPr>
        <w:t> </w:t>
      </w:r>
      <w:r w:rsidRPr="003029F4">
        <w:rPr>
          <w:lang w:val="fr-FR"/>
        </w:rPr>
        <w:t>37 § 1 c)).</w:t>
      </w:r>
    </w:p>
    <w:p w:rsidR="00C934B9" w:rsidRPr="003029F4" w:rsidRDefault="00C934B9" w:rsidP="0083422D">
      <w:pPr>
        <w:pStyle w:val="ECHRPara"/>
        <w:rPr>
          <w:lang w:val="fr-FR"/>
        </w:rPr>
      </w:pPr>
      <w:r w:rsidRPr="003029F4">
        <w:rPr>
          <w:lang w:val="fr-FR"/>
        </w:rPr>
        <w:t xml:space="preserve">En outre, à la lumière des considérations qui précèdent, et eu égard en particulier à sa jurisprudence claire et abondante à ce sujet, la Cour estime </w:t>
      </w:r>
      <w:r w:rsidRPr="003029F4">
        <w:rPr>
          <w:lang w:val="fr-FR"/>
        </w:rPr>
        <w:lastRenderedPageBreak/>
        <w:t>que le respect des droits de l</w:t>
      </w:r>
      <w:r w:rsidR="00E55886">
        <w:rPr>
          <w:lang w:val="fr-FR"/>
        </w:rPr>
        <w:t>’</w:t>
      </w:r>
      <w:r w:rsidRPr="003029F4">
        <w:rPr>
          <w:lang w:val="fr-FR"/>
        </w:rPr>
        <w:t>homme garantis par la Convention et ses Protocoles n</w:t>
      </w:r>
      <w:r w:rsidR="00E55886">
        <w:rPr>
          <w:lang w:val="fr-FR"/>
        </w:rPr>
        <w:t>’</w:t>
      </w:r>
      <w:r w:rsidRPr="003029F4">
        <w:rPr>
          <w:lang w:val="fr-FR"/>
        </w:rPr>
        <w:t>exige pas qu</w:t>
      </w:r>
      <w:r w:rsidR="00E55886">
        <w:rPr>
          <w:lang w:val="fr-FR"/>
        </w:rPr>
        <w:t>’</w:t>
      </w:r>
      <w:r w:rsidRPr="003029F4">
        <w:rPr>
          <w:lang w:val="fr-FR"/>
        </w:rPr>
        <w:t>elle poursuive l</w:t>
      </w:r>
      <w:r w:rsidR="00E55886">
        <w:rPr>
          <w:lang w:val="fr-FR"/>
        </w:rPr>
        <w:t>’</w:t>
      </w:r>
      <w:r w:rsidRPr="003029F4">
        <w:rPr>
          <w:lang w:val="fr-FR"/>
        </w:rPr>
        <w:t>exa</w:t>
      </w:r>
      <w:r w:rsidR="00C41ED1">
        <w:rPr>
          <w:lang w:val="fr-FR"/>
        </w:rPr>
        <w:t>men de la requête (article</w:t>
      </w:r>
      <w:r w:rsidR="00671E8A">
        <w:rPr>
          <w:lang w:val="fr-FR"/>
        </w:rPr>
        <w:t> </w:t>
      </w:r>
      <w:r w:rsidR="00C41ED1">
        <w:rPr>
          <w:lang w:val="fr-FR"/>
        </w:rPr>
        <w:t>37 § </w:t>
      </w:r>
      <w:r w:rsidRPr="003029F4">
        <w:rPr>
          <w:lang w:val="fr-FR"/>
        </w:rPr>
        <w:t xml:space="preserve">1 </w:t>
      </w:r>
      <w:r w:rsidRPr="003029F4">
        <w:rPr>
          <w:i/>
          <w:iCs/>
          <w:lang w:val="fr-FR"/>
        </w:rPr>
        <w:t>in fine</w:t>
      </w:r>
      <w:r w:rsidRPr="003029F4">
        <w:rPr>
          <w:lang w:val="fr-FR"/>
        </w:rPr>
        <w:t>).</w:t>
      </w:r>
      <w:r>
        <w:rPr>
          <w:lang w:val="fr-FR"/>
        </w:rPr>
        <w:t xml:space="preserve"> Elle observe également que, comme indiqué par le Gouvernement dans sa déclaration unilatérale, dans son arrêt </w:t>
      </w:r>
      <w:proofErr w:type="spellStart"/>
      <w:r>
        <w:rPr>
          <w:i/>
          <w:lang w:val="fr-FR"/>
        </w:rPr>
        <w:t>Virga</w:t>
      </w:r>
      <w:proofErr w:type="spellEnd"/>
      <w:r>
        <w:rPr>
          <w:i/>
          <w:lang w:val="fr-FR"/>
        </w:rPr>
        <w:t xml:space="preserve"> </w:t>
      </w:r>
      <w:r w:rsidR="00305B6E">
        <w:rPr>
          <w:lang w:val="fr-FR"/>
        </w:rPr>
        <w:t>du 4 </w:t>
      </w:r>
      <w:r>
        <w:rPr>
          <w:lang w:val="fr-FR"/>
        </w:rPr>
        <w:t>mai 2011, la Cour de cassation a dit que non seulement les détenus condamnés, mais également les personnes placées en détention provisoire, comme le mari de la requérante, avaient droit à un recours juridictionnel pour contester le rejet d</w:t>
      </w:r>
      <w:r w:rsidR="00E55886">
        <w:rPr>
          <w:lang w:val="fr-FR"/>
        </w:rPr>
        <w:t>’</w:t>
      </w:r>
      <w:r>
        <w:rPr>
          <w:lang w:val="fr-FR"/>
        </w:rPr>
        <w:t>une demande de colloque. Ceci n</w:t>
      </w:r>
      <w:r w:rsidR="00E55886">
        <w:rPr>
          <w:lang w:val="fr-FR"/>
        </w:rPr>
        <w:t>’</w:t>
      </w:r>
      <w:r>
        <w:rPr>
          <w:lang w:val="fr-FR"/>
        </w:rPr>
        <w:t>est pas contesté par la requérante, qui s</w:t>
      </w:r>
      <w:r w:rsidR="00E55886">
        <w:rPr>
          <w:lang w:val="fr-FR"/>
        </w:rPr>
        <w:t>’</w:t>
      </w:r>
      <w:r>
        <w:rPr>
          <w:lang w:val="fr-FR"/>
        </w:rPr>
        <w:t>est bornée à évoquer la possibilité théorique d</w:t>
      </w:r>
      <w:r w:rsidR="00E55886">
        <w:rPr>
          <w:lang w:val="fr-FR"/>
        </w:rPr>
        <w:t>’</w:t>
      </w:r>
      <w:r>
        <w:rPr>
          <w:lang w:val="fr-FR"/>
        </w:rPr>
        <w:t>ultérieurs revirements jurisprudentiels.</w:t>
      </w:r>
    </w:p>
    <w:p w:rsidR="00C934B9" w:rsidRDefault="00C934B9" w:rsidP="0083422D">
      <w:pPr>
        <w:pStyle w:val="ECHRPara"/>
        <w:rPr>
          <w:lang w:val="fr-FR"/>
        </w:rPr>
      </w:pPr>
      <w:r w:rsidRPr="003029F4">
        <w:rPr>
          <w:lang w:val="fr-FR"/>
        </w:rPr>
        <w:t xml:space="preserve">La Cour interprète </w:t>
      </w:r>
      <w:r>
        <w:rPr>
          <w:lang w:val="fr-FR"/>
        </w:rPr>
        <w:t>la</w:t>
      </w:r>
      <w:r w:rsidRPr="003029F4">
        <w:rPr>
          <w:lang w:val="fr-FR"/>
        </w:rPr>
        <w:t xml:space="preserve"> déclaration</w:t>
      </w:r>
      <w:r>
        <w:rPr>
          <w:lang w:val="fr-FR"/>
        </w:rPr>
        <w:t xml:space="preserve"> unilatérale du Gouvernement</w:t>
      </w:r>
      <w:r w:rsidRPr="003029F4">
        <w:rPr>
          <w:lang w:val="fr-FR"/>
        </w:rPr>
        <w:t xml:space="preserve"> dans le sens que </w:t>
      </w:r>
      <w:r>
        <w:rPr>
          <w:lang w:val="fr-FR"/>
        </w:rPr>
        <w:t>la</w:t>
      </w:r>
      <w:r w:rsidRPr="003029F4">
        <w:rPr>
          <w:lang w:val="fr-FR"/>
        </w:rPr>
        <w:t xml:space="preserve"> somme</w:t>
      </w:r>
      <w:r>
        <w:rPr>
          <w:lang w:val="fr-FR"/>
        </w:rPr>
        <w:t xml:space="preserve"> de 4 000 EUR </w:t>
      </w:r>
      <w:r w:rsidRPr="003029F4">
        <w:rPr>
          <w:lang w:val="fr-FR"/>
        </w:rPr>
        <w:t>devra être versée dans les trois mois suivant la date de la notification de la décision de la Cour rendue conformément à l</w:t>
      </w:r>
      <w:r w:rsidR="00E55886">
        <w:rPr>
          <w:lang w:val="fr-FR"/>
        </w:rPr>
        <w:t>’</w:t>
      </w:r>
      <w:r w:rsidRPr="003029F4">
        <w:rPr>
          <w:lang w:val="fr-FR"/>
        </w:rPr>
        <w:t>article 37 § 1 de la Convention européenne des droits de l</w:t>
      </w:r>
      <w:r w:rsidR="00E55886">
        <w:rPr>
          <w:lang w:val="fr-FR"/>
        </w:rPr>
        <w:t>’</w:t>
      </w:r>
      <w:r w:rsidRPr="003029F4">
        <w:rPr>
          <w:lang w:val="fr-FR"/>
        </w:rPr>
        <w:t>homme. À défaut de règlement dans ledit délai, le Gouvernement devra verser, à compter de l</w:t>
      </w:r>
      <w:r w:rsidR="00E55886">
        <w:rPr>
          <w:lang w:val="fr-FR"/>
        </w:rPr>
        <w:t>’</w:t>
      </w:r>
      <w:r w:rsidRPr="003029F4">
        <w:rPr>
          <w:lang w:val="fr-FR"/>
        </w:rPr>
        <w:t>expiration de celui-ci et jusqu</w:t>
      </w:r>
      <w:r w:rsidR="00E55886">
        <w:rPr>
          <w:lang w:val="fr-FR"/>
        </w:rPr>
        <w:t>’</w:t>
      </w:r>
      <w:r w:rsidRPr="003029F4">
        <w:rPr>
          <w:lang w:val="fr-FR"/>
        </w:rPr>
        <w:t>au règlement effectif de la somme en question, un intérêt simple à un taux égal à celui de la facilité de prêt marginal de la Banque centrale européenne, augmenté de trois points de pourcentage.</w:t>
      </w:r>
    </w:p>
    <w:p w:rsidR="00C934B9" w:rsidRPr="003029F4" w:rsidRDefault="00C934B9" w:rsidP="0083422D">
      <w:pPr>
        <w:pStyle w:val="ECHRPara"/>
        <w:rPr>
          <w:lang w:val="fr-FR"/>
        </w:rPr>
      </w:pPr>
      <w:r w:rsidRPr="003029F4">
        <w:rPr>
          <w:lang w:val="fr-FR"/>
        </w:rPr>
        <w:t>Enfin, la Cour souligne que, dans le cas où le Gouvernement ne respecterait pas les termes de sa déclaration unilatérale, la requête pourrait être réinscrite au rôle en vertu de l</w:t>
      </w:r>
      <w:r w:rsidR="00E55886">
        <w:rPr>
          <w:lang w:val="fr-FR"/>
        </w:rPr>
        <w:t>’</w:t>
      </w:r>
      <w:r w:rsidRPr="003029F4">
        <w:rPr>
          <w:lang w:val="fr-FR"/>
        </w:rPr>
        <w:t>article 37 § 2 de la Convention (</w:t>
      </w:r>
      <w:proofErr w:type="spellStart"/>
      <w:r w:rsidRPr="003029F4">
        <w:rPr>
          <w:i/>
          <w:lang w:val="fr-FR"/>
        </w:rPr>
        <w:t>Josipović</w:t>
      </w:r>
      <w:proofErr w:type="spellEnd"/>
      <w:r w:rsidRPr="003029F4">
        <w:rPr>
          <w:i/>
          <w:lang w:val="fr-FR"/>
        </w:rPr>
        <w:t xml:space="preserve"> c. Serbie</w:t>
      </w:r>
      <w:r w:rsidRPr="003029F4">
        <w:rPr>
          <w:lang w:val="fr-FR"/>
        </w:rPr>
        <w:t xml:space="preserve"> (déc.), nº 18369/07, 4 mars 2008).</w:t>
      </w:r>
    </w:p>
    <w:p w:rsidR="00C934B9" w:rsidRPr="003029F4" w:rsidRDefault="00C934B9" w:rsidP="0083422D">
      <w:pPr>
        <w:pStyle w:val="ECHRPara"/>
        <w:rPr>
          <w:lang w:val="fr-FR"/>
        </w:rPr>
      </w:pPr>
      <w:r w:rsidRPr="003029F4">
        <w:rPr>
          <w:lang w:val="fr-FR"/>
        </w:rPr>
        <w:t>En conséquence, il convient de rayer l</w:t>
      </w:r>
      <w:r w:rsidR="00E55886">
        <w:rPr>
          <w:lang w:val="fr-FR"/>
        </w:rPr>
        <w:t>’</w:t>
      </w:r>
      <w:r w:rsidRPr="003029F4">
        <w:rPr>
          <w:lang w:val="fr-FR"/>
        </w:rPr>
        <w:t>affaire du rôle.</w:t>
      </w:r>
    </w:p>
    <w:p w:rsidR="00C934B9" w:rsidRPr="003029F4" w:rsidRDefault="00C934B9" w:rsidP="0083422D">
      <w:pPr>
        <w:pStyle w:val="JuParaLast"/>
        <w:rPr>
          <w:lang w:val="fr-FR"/>
        </w:rPr>
      </w:pPr>
      <w:r w:rsidRPr="003029F4">
        <w:rPr>
          <w:lang w:val="fr-FR"/>
        </w:rPr>
        <w:t>Par ces motifs, la Cour, à l</w:t>
      </w:r>
      <w:r w:rsidR="00E55886">
        <w:rPr>
          <w:lang w:val="fr-FR"/>
        </w:rPr>
        <w:t>’</w:t>
      </w:r>
      <w:r w:rsidRPr="003029F4">
        <w:rPr>
          <w:lang w:val="fr-FR"/>
        </w:rPr>
        <w:t>unanimité,</w:t>
      </w:r>
    </w:p>
    <w:p w:rsidR="00C934B9" w:rsidRPr="003029F4" w:rsidRDefault="00C934B9" w:rsidP="000F7DC5">
      <w:pPr>
        <w:pStyle w:val="DecList"/>
        <w:rPr>
          <w:i/>
          <w:lang w:val="fr-FR"/>
        </w:rPr>
      </w:pPr>
      <w:r w:rsidRPr="003029F4">
        <w:rPr>
          <w:i/>
          <w:lang w:val="fr-FR"/>
        </w:rPr>
        <w:t>Prend acte</w:t>
      </w:r>
      <w:r w:rsidRPr="003029F4">
        <w:rPr>
          <w:lang w:val="fr-FR"/>
        </w:rPr>
        <w:t xml:space="preserve"> des termes de la déclaration du gouvernement défendeur concernant l</w:t>
      </w:r>
      <w:r>
        <w:rPr>
          <w:lang w:val="fr-FR"/>
        </w:rPr>
        <w:t xml:space="preserve">es </w:t>
      </w:r>
      <w:r w:rsidRPr="003029F4">
        <w:rPr>
          <w:lang w:val="fr-FR"/>
        </w:rPr>
        <w:t>article</w:t>
      </w:r>
      <w:r>
        <w:rPr>
          <w:lang w:val="fr-FR"/>
        </w:rPr>
        <w:t>s</w:t>
      </w:r>
      <w:r w:rsidRPr="003029F4">
        <w:rPr>
          <w:lang w:val="fr-FR"/>
        </w:rPr>
        <w:t xml:space="preserve"> </w:t>
      </w:r>
      <w:r>
        <w:rPr>
          <w:lang w:val="fr-FR"/>
        </w:rPr>
        <w:t>8 et 13</w:t>
      </w:r>
      <w:r w:rsidRPr="003029F4">
        <w:rPr>
          <w:lang w:val="fr-FR"/>
        </w:rPr>
        <w:t xml:space="preserve"> de la Convention et des modalités prévues pour assurer le respect des engagements ainsi pris ;</w:t>
      </w:r>
    </w:p>
    <w:p w:rsidR="00C934B9" w:rsidRPr="009B6D21" w:rsidRDefault="00C934B9" w:rsidP="000F7DC5">
      <w:pPr>
        <w:pStyle w:val="DecList"/>
        <w:rPr>
          <w:lang w:val="fr-FR"/>
        </w:rPr>
      </w:pPr>
      <w:r w:rsidRPr="00E55886">
        <w:rPr>
          <w:i/>
          <w:lang w:val="fr-FR"/>
        </w:rPr>
        <w:t>Décide</w:t>
      </w:r>
      <w:r w:rsidRPr="009B6D21">
        <w:rPr>
          <w:lang w:val="fr-FR"/>
        </w:rPr>
        <w:t xml:space="preserve"> de rayer la requête du rôle en application de l</w:t>
      </w:r>
      <w:r w:rsidR="00E55886">
        <w:rPr>
          <w:lang w:val="fr-FR"/>
        </w:rPr>
        <w:t>’</w:t>
      </w:r>
      <w:r w:rsidRPr="009B6D21">
        <w:rPr>
          <w:lang w:val="fr-FR"/>
        </w:rPr>
        <w:t>article 37 § 1 c) de la Convention.</w:t>
      </w:r>
    </w:p>
    <w:p w:rsidR="006544C4" w:rsidRPr="00AD4F05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AD4F05" w:rsidRDefault="00F40988" w:rsidP="006F19B0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C934B9">
        <w:rPr>
          <w:szCs w:val="24"/>
          <w:lang w:val="fr-FR"/>
        </w:rPr>
        <w:t>18 février 2016</w:t>
      </w:r>
      <w:r w:rsidRPr="00AD4F05">
        <w:rPr>
          <w:lang w:val="fr-FR"/>
        </w:rPr>
        <w:t>.</w:t>
      </w:r>
    </w:p>
    <w:p w:rsidR="00CE6ED9" w:rsidRPr="00AD4F05" w:rsidRDefault="00C934B9" w:rsidP="00B87FB1">
      <w:pPr>
        <w:pStyle w:val="JuSigned"/>
        <w:rPr>
          <w:lang w:val="fr-FR"/>
        </w:rPr>
      </w:pPr>
      <w:r w:rsidRPr="00AD4F05">
        <w:rPr>
          <w:lang w:val="fr-FR"/>
        </w:rPr>
        <w:tab/>
      </w:r>
      <w:r>
        <w:rPr>
          <w:lang w:val="fr-FR"/>
        </w:rPr>
        <w:t>André</w:t>
      </w:r>
      <w:r w:rsidRPr="00AD4F05">
        <w:rPr>
          <w:lang w:val="fr-FR"/>
        </w:rPr>
        <w:t xml:space="preserve"> </w:t>
      </w:r>
      <w:r>
        <w:rPr>
          <w:lang w:val="fr-FR"/>
        </w:rPr>
        <w:t>Wampach</w:t>
      </w:r>
      <w:r w:rsidR="006544C4" w:rsidRPr="00AD4F05">
        <w:rPr>
          <w:lang w:val="fr-FR"/>
        </w:rPr>
        <w:tab/>
      </w:r>
      <w:r>
        <w:rPr>
          <w:lang w:val="fr-FR"/>
        </w:rPr>
        <w:t>Kristina</w:t>
      </w:r>
      <w:r w:rsidRPr="00AD4F05">
        <w:rPr>
          <w:lang w:val="fr-FR"/>
        </w:rPr>
        <w:t xml:space="preserve"> </w:t>
      </w:r>
      <w:r>
        <w:rPr>
          <w:lang w:val="fr-FR"/>
        </w:rPr>
        <w:t>Pardalos</w:t>
      </w:r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>
        <w:rPr>
          <w:lang w:val="fr-FR"/>
        </w:rPr>
        <w:t>Greffier adjoint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Présidente</w:t>
      </w:r>
    </w:p>
    <w:sectPr w:rsidR="00CE6ED9" w:rsidRPr="00AD4F05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3D" w:rsidRDefault="0072483D" w:rsidP="006544C4">
      <w:r>
        <w:separator/>
      </w:r>
    </w:p>
  </w:endnote>
  <w:endnote w:type="continuationSeparator" w:id="0">
    <w:p w:rsidR="0072483D" w:rsidRDefault="0072483D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4B9" w:rsidRPr="00150BFA" w:rsidRDefault="00C934B9" w:rsidP="0020718E">
    <w:pPr>
      <w:jc w:val="center"/>
    </w:pPr>
    <w:r>
      <w:rPr>
        <w:noProof/>
        <w:lang w:val="it-IT" w:eastAsia="it-IT"/>
      </w:rPr>
      <w:drawing>
        <wp:inline distT="0" distB="0" distL="0" distR="0" wp14:anchorId="1D0F288E" wp14:editId="6993A0CE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72483D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3D" w:rsidRDefault="0072483D" w:rsidP="006544C4">
      <w:r>
        <w:separator/>
      </w:r>
    </w:p>
  </w:footnote>
  <w:footnote w:type="continuationSeparator" w:id="0">
    <w:p w:rsidR="0072483D" w:rsidRDefault="0072483D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3A30ED" w:rsidRDefault="00C934B9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3A30ED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AC0D0D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3A30ED">
      <w:rPr>
        <w:lang w:val="fr-FR"/>
      </w:rPr>
      <w:tab/>
      <w:t xml:space="preserve">DÉCISION </w:t>
    </w:r>
    <w:r w:rsidRPr="003A30ED">
      <w:rPr>
        <w:lang w:val="fr-FR"/>
      </w:rPr>
      <w:t>GATTO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3A30ED" w:rsidRDefault="00334EC5" w:rsidP="006544C4">
    <w:pPr>
      <w:pStyle w:val="ECHRHeader"/>
      <w:rPr>
        <w:lang w:val="fr-FR"/>
      </w:rPr>
    </w:pPr>
    <w:r>
      <w:tab/>
    </w:r>
    <w:r w:rsidRPr="003A30ED">
      <w:rPr>
        <w:lang w:val="fr-FR"/>
      </w:rPr>
      <w:t xml:space="preserve">DÉCISION </w:t>
    </w:r>
    <w:r w:rsidR="00C934B9" w:rsidRPr="003A30ED">
      <w:rPr>
        <w:lang w:val="fr-FR"/>
      </w:rPr>
      <w:t>GATTO c. ITALIE</w:t>
    </w:r>
    <w:r w:rsidRPr="003A30ED">
      <w:rPr>
        <w:lang w:val="fr-FR"/>
      </w:rPr>
      <w:tab/>
    </w:r>
    <w:r w:rsidR="00C934B9">
      <w:rPr>
        <w:rStyle w:val="Numeropagina"/>
        <w:lang w:val="en-GB"/>
      </w:rPr>
      <w:fldChar w:fldCharType="begin"/>
    </w:r>
    <w:r w:rsidR="00C934B9" w:rsidRPr="003A30ED">
      <w:rPr>
        <w:rStyle w:val="Numeropagina"/>
        <w:lang w:val="fr-FR"/>
      </w:rPr>
      <w:instrText xml:space="preserve"> PAGE </w:instrText>
    </w:r>
    <w:r w:rsidR="00C934B9">
      <w:rPr>
        <w:rStyle w:val="Numeropagina"/>
        <w:lang w:val="en-GB"/>
      </w:rPr>
      <w:fldChar w:fldCharType="separate"/>
    </w:r>
    <w:r w:rsidR="00AC0D0D">
      <w:rPr>
        <w:rStyle w:val="Numeropagina"/>
        <w:noProof/>
        <w:lang w:val="fr-FR"/>
      </w:rPr>
      <w:t>3</w:t>
    </w:r>
    <w:r w:rsidR="00C934B9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4B9" w:rsidRPr="00A45145" w:rsidRDefault="00C934B9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7D0E89B" wp14:editId="14785123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72483D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C934B9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0F7DC5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66A22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05B6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A30ED"/>
    <w:rsid w:val="003B4941"/>
    <w:rsid w:val="003B71FD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16DFB"/>
    <w:rsid w:val="00425C67"/>
    <w:rsid w:val="00427E7A"/>
    <w:rsid w:val="00436C49"/>
    <w:rsid w:val="00445366"/>
    <w:rsid w:val="00447F5B"/>
    <w:rsid w:val="00450A06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28C2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71E8A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2483D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B6D21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76903"/>
    <w:rsid w:val="00A82359"/>
    <w:rsid w:val="00A865D2"/>
    <w:rsid w:val="00A94C20"/>
    <w:rsid w:val="00AA227F"/>
    <w:rsid w:val="00AA3BC7"/>
    <w:rsid w:val="00AA754A"/>
    <w:rsid w:val="00AB099E"/>
    <w:rsid w:val="00AB4328"/>
    <w:rsid w:val="00AC0D0D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41ED1"/>
    <w:rsid w:val="00C53F4A"/>
    <w:rsid w:val="00C54125"/>
    <w:rsid w:val="00C55B54"/>
    <w:rsid w:val="00C6098E"/>
    <w:rsid w:val="00C6152C"/>
    <w:rsid w:val="00C74810"/>
    <w:rsid w:val="00C90D68"/>
    <w:rsid w:val="00C934B9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55886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5228C2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5228C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5228C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5228C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5228C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5228C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5228C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5228C2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5228C2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5228C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228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8C2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5228C2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5228C2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5228C2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5228C2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5228C2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5228C2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5228C2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5228C2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5228C2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5228C2"/>
  </w:style>
  <w:style w:type="paragraph" w:customStyle="1" w:styleId="JuParaSub">
    <w:name w:val="Ju_Para_Sub"/>
    <w:basedOn w:val="ECHRPara"/>
    <w:uiPriority w:val="13"/>
    <w:qFormat/>
    <w:rsid w:val="005228C2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5228C2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5228C2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5228C2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5228C2"/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5228C2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OpiQuotSub">
    <w:name w:val="Opi_Quot_Sub"/>
    <w:basedOn w:val="JuQuotSub"/>
    <w:uiPriority w:val="49"/>
    <w:semiHidden/>
    <w:qFormat/>
    <w:rsid w:val="005228C2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5228C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5228C2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5228C2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JuCase">
    <w:name w:val="Ju_Case"/>
    <w:basedOn w:val="Normale"/>
    <w:next w:val="ECHRPara"/>
    <w:uiPriority w:val="10"/>
    <w:semiHidden/>
    <w:rsid w:val="005228C2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5228C2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5228C2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5228C2"/>
    <w:pPr>
      <w:tabs>
        <w:tab w:val="clear" w:pos="357"/>
      </w:tabs>
      <w:outlineLvl w:val="1"/>
    </w:pPr>
    <w:rPr>
      <w:b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5228C2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5228C2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5228C2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5228C2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5228C2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5228C2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5228C2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5228C2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5228C2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5228C2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5228C2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5228C2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5228C2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5228C2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5228C2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5228C2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5228C2"/>
    <w:rPr>
      <w:rFonts w:asciiTheme="majorHAnsi" w:eastAsiaTheme="majorEastAsia" w:hAnsiTheme="majorHAnsi" w:cstheme="majorBidi"/>
      <w:b/>
      <w:bCs/>
      <w:color w:val="808080"/>
    </w:rPr>
  </w:style>
  <w:style w:type="character" w:customStyle="1" w:styleId="JUNAMES">
    <w:name w:val="JU_NAMES"/>
    <w:uiPriority w:val="17"/>
    <w:qFormat/>
    <w:rsid w:val="005228C2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5228C2"/>
    <w:rPr>
      <w:vanish w:val="0"/>
      <w:color w:val="auto"/>
      <w:sz w:val="14"/>
    </w:rPr>
  </w:style>
  <w:style w:type="character" w:styleId="Enfasidelicata">
    <w:name w:val="Subtle Emphasis"/>
    <w:uiPriority w:val="99"/>
    <w:semiHidden/>
    <w:qFormat/>
    <w:rsid w:val="005228C2"/>
    <w:rPr>
      <w:i/>
      <w:iCs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5228C2"/>
    <w:pPr>
      <w:jc w:val="center"/>
      <w:outlineLvl w:val="0"/>
    </w:pPr>
    <w:rPr>
      <w:i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Court">
    <w:name w:val="Ju_Court"/>
    <w:basedOn w:val="Normale"/>
    <w:next w:val="Normale"/>
    <w:uiPriority w:val="16"/>
    <w:qFormat/>
    <w:rsid w:val="005228C2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List">
    <w:name w:val="Ju_List"/>
    <w:basedOn w:val="Normale"/>
    <w:uiPriority w:val="28"/>
    <w:qFormat/>
    <w:rsid w:val="005228C2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5228C2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5228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5228C2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5228C2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5228C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228C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28C2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5228C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5228C2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5228C2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5228C2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5228C2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5228C2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5228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5228C2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5228C2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5228C2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5228C2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5228C2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5228C2"/>
    <w:rPr>
      <w:smallCaps/>
    </w:rPr>
  </w:style>
  <w:style w:type="table" w:styleId="Grigliatabella">
    <w:name w:val="Table Grid"/>
    <w:basedOn w:val="Tabellanormale"/>
    <w:uiPriority w:val="59"/>
    <w:semiHidden/>
    <w:rsid w:val="005228C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5228C2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5228C2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5228C2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5228C2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5228C2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5228C2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5228C2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5228C2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5228C2"/>
    <w:pPr>
      <w:ind w:left="79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5228C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5228C2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5228C2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28C2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5228C2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OpiH1">
    <w:name w:val="Opi_H_1"/>
    <w:basedOn w:val="ECHRHeading2"/>
    <w:uiPriority w:val="42"/>
    <w:semiHidden/>
    <w:qFormat/>
    <w:rsid w:val="005228C2"/>
    <w:pPr>
      <w:ind w:left="635" w:hanging="357"/>
      <w:outlineLvl w:val="2"/>
    </w:pPr>
  </w:style>
  <w:style w:type="paragraph" w:customStyle="1" w:styleId="DecHTitle">
    <w:name w:val="Dec_H_Title"/>
    <w:basedOn w:val="ECHRTitleCentre1"/>
    <w:uiPriority w:val="7"/>
    <w:qFormat/>
    <w:rsid w:val="005228C2"/>
  </w:style>
  <w:style w:type="paragraph" w:styleId="Puntoelenco2">
    <w:name w:val="List Bullet 2"/>
    <w:basedOn w:val="Normale"/>
    <w:uiPriority w:val="99"/>
    <w:semiHidden/>
    <w:rsid w:val="006544C4"/>
    <w:pPr>
      <w:numPr>
        <w:numId w:val="1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2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5228C2"/>
    <w:pPr>
      <w:ind w:left="833" w:hanging="357"/>
      <w:outlineLvl w:val="3"/>
    </w:pPr>
    <w:rPr>
      <w:b/>
      <w:i w:val="0"/>
      <w:sz w:val="20"/>
    </w:rPr>
  </w:style>
  <w:style w:type="character" w:customStyle="1" w:styleId="ECHRParaChar">
    <w:name w:val="ECHR_Para Char"/>
    <w:aliases w:val="Ju_Para Char"/>
    <w:link w:val="ECHRPara"/>
    <w:uiPriority w:val="12"/>
    <w:rsid w:val="00C934B9"/>
    <w:rPr>
      <w:rFonts w:eastAsiaTheme="minorEastAsia"/>
      <w:sz w:val="24"/>
    </w:rPr>
  </w:style>
  <w:style w:type="paragraph" w:customStyle="1" w:styleId="OpiHi">
    <w:name w:val="Opi_H_i"/>
    <w:basedOn w:val="ECHRHeading4"/>
    <w:uiPriority w:val="44"/>
    <w:semiHidden/>
    <w:qFormat/>
    <w:rsid w:val="005228C2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5228C2"/>
    <w:rPr>
      <w:color w:val="00B05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1E75-7BEC-433D-A5BD-94D70BBD8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18DFA2-198D-40C8-B643-6619692E8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1E17D-3C12-491A-B2CB-9B8790DFD9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F9112E-B217-4D9F-9030-C4C7853D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2016-03-01T14:03:00Z</dcterms:created>
  <dcterms:modified xsi:type="dcterms:W3CDTF">2016-03-01T14:03:00Z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60201/09</vt:lpwstr>
  </property>
  <property fmtid="{D5CDD505-2E9C-101B-9397-08002B2CF9AE}" pid="4" name="CASEID">
    <vt:lpwstr>606457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